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1C_672/2012 vom 3. Oktober 2013</w:t>
      </w:r>
    </w:p>
    <w:p>
      <w:r>
        <w:t>Bundesgericht, 2013-10-03, FR</w:t>
      </w:r>
    </w:p>
    <w:p>
      <w:r>
        <w:rPr>
          <w:b/>
        </w:rPr>
        <w:t xml:space="preserve">Quelle: </w:t>
      </w:r>
      <w:r>
        <w:t>https://mcp.opencaselaw.ch/entscheid/bger_1C_672_2012</w:t>
      </w:r>
    </w:p>
    <w:p>
      <w:r>
        <w:t>FR: TF 1C_672/2012 du 3 octobre 2013</w:t>
      </w:r>
    </w:p>
    <w:p>
      <w:r>
        <w:t>IT: TF 1C_672/2012 del 3 ottobre 2013</w:t>
      </w:r>
    </w:p>
    <w:p>
      <w:pPr>
        <w:pStyle w:val="Heading2"/>
      </w:pPr>
      <w:r>
        <w:t>Erwägungen</w:t>
      </w:r>
    </w:p>
    <w:p>
      <w:r>
        <w:rPr>
          <w:b/>
        </w:rPr>
        <w:t>E. 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3</w:t>
      </w:r>
    </w:p>
    <w:p>
      <w:r>
        <w:t>Sur le vu de ces arrêts, il y a lieu d'admettre le recours d'Helvetia Nostra et d'annuler l'arrêt attaqué. Dans un tel cas, le Tribunal fédéral peut renvoyer la cause à l'autorité précédente ou à celle qui a statué en première instance ( art. 107 al. 2 LTF ). Se pose dès lors la question de savoir si la cause doit être renvoyée à la cour cantonale ou à l'autorité communale, après annulation des décisions sur recours et de l'autorisation de construire. En l'occurrence, la question de la conformité de l'autorisation de construire à l' art. 75b Cst. n'a pas été examinée lors du rejet de l'opposition par la commune. La constructrice devra donc, si elle maintient sa demande de permis de construire, apporter les éclaircissements nécessaires sur ces points. Il y a donc lieu d'annuler la décision du 13 juin 2012 et de renvoyer la cause à l'autorité communale.</w:t>
      </w:r>
    </w:p>
    <w:p>
      <w:r>
        <w:rPr>
          <w:b/>
        </w:rPr>
        <w:t>E. 4</w:t>
      </w:r>
    </w:p>
    <w:p>
      <w:r>
        <w:t>Compte tenu de l'issue de la cause, les frais judiciaires et les dépens sont mis à la charge de l'intimée qui succombe (art. 66 al. 1 et 68 al. 1 LTF). Il y a lieu également, conformément aux art. 67 et 68 al. 5 LTF , de fixer les frais et dépens pour la procédure devant les instances précédentes, soit le Conseil d'Etat et le Tribunal cantonal. Au vu du grand nombre de recours similaires déposés par la recourante, il convient de réduire les dépens et de les fixer à 3'000 fr. pour l'ensemble des procédures fédérale et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