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1C_66/2018 vom 17. Mai 2018</w:t>
      </w:r>
    </w:p>
    <w:p>
      <w:r>
        <w:t>Bundesgericht, 2018-05-17, DE</w:t>
      </w:r>
    </w:p>
    <w:p>
      <w:r>
        <w:rPr>
          <w:b/>
        </w:rPr>
        <w:t xml:space="preserve">Quelle: </w:t>
      </w:r>
      <w:r>
        <w:t>https://mcp.opencaselaw.ch/entscheid/bger_1C_66_2018</w:t>
      </w:r>
    </w:p>
    <w:p>
      <w:r>
        <w:t>FR: TF 1C_66/2018 du 17 mai 2018</w:t>
      </w:r>
    </w:p>
    <w:p>
      <w:r>
        <w:t>IT: TF 1C_66/2018 del 17 maggio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w:t>
      </w:r>
    </w:p>
    <w:p>
      <w:r>
        <w:rPr>
          <w:b/>
        </w:rPr>
        <w:t>E. 1.2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Die Rechtsprechung bejaht in der Regel die Legitimation von Nachbarn, deren Liegenschaften sich in einem Umkreis von bis zu rund 100 m befinden ( BGE 140 II 214 E. 2.3 S. 219 f. mit Hinweisen). Liegt diese besondere Beziehungsnähe vor, braucht das Anfechtungsinteresse nicht mit dem Interesse übereinzustimmen, das durch die von den Beschwerdeführern als verletzt bezeichneten Normen geschützt wird. Sie können daher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den Beschwerdeführern im Falle des Obsiegens ein Vorteil entsteht (zum Ganzen: BGE 141 II 50 E. 2.1 S. 52; BGE 139 II 499 E. 2.2 S. 504 f.; je mit Hinweisen). Die Beschwerdeführer haben darzulegen, dass die gesetzlichen Legitimationsvoraussetzungen gegeben sind (vgl. Art. 42 Abs. 1 und 2 BGG ; BGE 133 II 249 E. 1.1 S. 251).</w:t>
      </w:r>
    </w:p>
    <w:p>
      <w:r>
        <w:rPr>
          <w:b/>
        </w:rPr>
        <w:t>E. 1.3</w:t>
      </w:r>
    </w:p>
    <w:p>
      <w:r>
        <w:t>Die Beschwerdeführer B.________ und C.________ (GB 1226 Kat.-Nr. 2519) sind direkte Nachbarn der Liegenschaft an der X.________strasse "..." in Kilchberg (GB 1190 Kat.-Nr. 2400). Als Eigentümer der an das Baugrundstück angrenzenden Parzelle sind sie durch den angefochtenen Entscheid grundsätzlich besonders berührt. Die Liegenschaft der Beschwerdeführerin A.________ (GB 1204 Kat.-Nr. 2465) grenzt nicht direkt an das Grundstück an der X.________strasse "...", befindet sich aber im Umkreis von rund 100 m. Damit besteht eine hinreichend enge räumliche Beziehung zum streitbetroffenen Grundstück und die Beschwerdeführer sind besonders berührt ( Art. 89 Abs. 1 lit. b BGG ). Weiter haben sie am vorinstanzlichen Verfahren teilgenommen und sind mit ihren Rechtsbegehren vor der Vorinstanz nicht durchgedrungen.</w:t>
      </w:r>
    </w:p>
    <w:p>
      <w:r>
        <w:t>Fraglich ist vorliegend jedoch, ob die Beschwerdeführer ein schutzwürdiges Interesse an der Überprüfung des angefochtenen Entscheids durch das Bundesgericht haben. Die Beschwerdeführer machen nicht geltend, dass durch das Bauprojekt die Grunddienstbarkeit zu Gunsten ihrer Liegenschaften verletzt würde oder dass sie sonstwie als Nachbarn konkret beeinträchtigt würden. Sie beharren jedoch auf einer "präzisen Bewilligung aufgrund eines widerspruchsfreien Baugesuchs".</w:t>
      </w:r>
    </w:p>
    <w:p>
      <w:r>
        <w:rPr>
          <w:b/>
        </w:rPr>
        <w:t>E. 1.4</w:t>
      </w:r>
    </w:p>
    <w:p>
      <w:r>
        <w:t>Es ist unbestritten, dass die Baugesuchspläne betreffend das Untergeschoss zwei Fehler aufweisen. Zum einen ist im Grundrissplan eine trapezähnliche Fläche weiss eingezeichnet. Diese Farbgebung entspricht nicht der gängigen Farbregelung bei Bauten gemäss § 4 der Bauverfahrensordnung des Kantons Zürichs vom 3. Dezember 1997 (BVV; LS 700.6), wonach Bauten und Anlagen je nach Vorhaben grundsätzlich schwarz, rot oder gelb dargestellt werden müssen. Zum anderen ist die Fensterfläche im Weinkeller lediglich mit 0.95 m2 statt mit 1.9 m2 angegeben worden.</w:t>
      </w:r>
    </w:p>
    <w:p>
      <w:r>
        <w:t>Die Vorinstanz hat im angefochtenen Urteil diese beiden Versehen festgestellt und in verbindlicher Weise festgehalten, wie die Baugesuchsunterlagen zu interpretieren sind.</w:t>
      </w:r>
    </w:p>
    <w:p>
      <w:r>
        <w:t>Die Beschwerdegegner schliessen sich dieser Auslegung an. Sie machen geltend, es werde eine Ergänzung respektive Korrektur der Baugesuchsunterlagen in einem Bereich verlangt, wo gar keine baurechtsrelevanten Änderungen vorgesehen seien. Aus diesem Grund würden die Beschwerdeführer über kein schutzwürdiges Interesse verfügen und auf die Beschwerde sei nicht einzutreten.</w:t>
      </w:r>
    </w:p>
    <w:p>
      <w:r>
        <w:t>In der Tat hätte die Korrektur der beiden offensichtlichen Versehen keine direkten Auswirkungen auf die Interessen der Beschwerdeführer, ausser dass danach korrekte Pläne in den Baugesuchsunterlagen vorhanden wären. Dieser Umstand reicht für sich alleine aber nicht aus, um ein schutzwürdiges Interesse an der Beschwerdeführung zu begründen. Dass die Beschwerdeführer in anderer Weise in schutzwürdigen Interessen tangiert sein könnten, ist nicht ersichtlich und wurde in der Beschwerde auch nicht dargelegt.</w:t>
      </w:r>
    </w:p>
    <w:p>
      <w:r>
        <w:rPr>
          <w:b/>
        </w:rPr>
        <w:t>E. 2</w:t>
      </w:r>
    </w:p>
    <w:p>
      <w:r>
        <w:t>Nach dem Gesagten ist auf die Beschwerde nicht einzutreten.</w:t>
      </w:r>
    </w:p>
    <w:p>
      <w:r>
        <w:t>Bei diesem Ausgang des Verfahrens werden die Beschwerdeführer kostenpflichtig ( Art. 66 Abs. 1 und Abs. 5 BGG ). Sie haben den anwaltlich vertretenen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