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1C_669/2017 vom 21. Juni 2018</w:t>
      </w:r>
    </w:p>
    <w:p>
      <w:r>
        <w:t>Bundesgericht, 2018-06-21, DE</w:t>
      </w:r>
    </w:p>
    <w:p>
      <w:r>
        <w:rPr>
          <w:b/>
        </w:rPr>
        <w:t xml:space="preserve">Quelle: </w:t>
      </w:r>
      <w:r>
        <w:t>https://mcp.opencaselaw.ch/entscheid/bger_1C_669_2017</w:t>
      </w:r>
    </w:p>
    <w:p>
      <w:r>
        <w:t>FR: TF 1C_669/2017 du 21 juin 2018</w:t>
      </w:r>
    </w:p>
    <w:p>
      <w:r>
        <w:t>IT: TF 1C_669/2017 del 21 giugno 2018</w:t>
      </w:r>
    </w:p>
    <w:p>
      <w:pPr>
        <w:pStyle w:val="Heading2"/>
      </w:pPr>
      <w:r>
        <w:t>Erwägungen</w:t>
      </w:r>
    </w:p>
    <w:p>
      <w:r>
        <w:rPr>
          <w:b/>
        </w:rPr>
        <w:t>E. 1.1</w:t>
      </w:r>
    </w:p>
    <w:p>
      <w:r>
        <w:t>Das Bundesgericht prüft von Amtes wegen, ob ein Rechtsmittel zulässig ist ( Art. 29 Abs. 1 BGG ; BGE 139 III 133 E. 1 mit Hinweisen).</w:t>
      </w:r>
    </w:p>
    <w:p>
      <w:r>
        <w:rPr>
          <w:b/>
        </w:rPr>
        <w:t>E. 1.2</w:t>
      </w:r>
    </w:p>
    <w:p>
      <w:r>
        <w:t>Gegen den kantonal letztinstanzlichen Endentscheid des Verwaltungsgerichts im Bereich des Baurechts steht die Beschwerde in öffentlich-rechtlichen Angelegenheiten grundsätzlich offen (Art. 82 f. BGG; BGE 133 II 353 E. 2 S. 356). Der Beschwerdeführer hat am vorinstanzlichen Verfahren teilgenommen und ist als Nachbar beschwerdelegitimiert ( Art. 89 Abs. 1 BGG ).</w:t>
      </w:r>
    </w:p>
    <w:p>
      <w:r>
        <w:rPr>
          <w:b/>
        </w:rPr>
        <w:t>E. 1.3</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1.4</w:t>
      </w:r>
    </w:p>
    <w:p>
      <w:r>
        <w:t>Das Bundesgericht wendet das Bundesrecht grundsätzlich von Amtes wegen an ( Art. 106 Abs. 1 BGG ). Gemäss Art. 106 Abs. 2 BGG prüft es die Verletzung von Grundrechten (vgl. Art. 7 - 34 BV ) jedoch nur insofern, als eine solche Rüge in der Beschwerde vorgebracht und begründet worden ist. Das bedeutet, dass das Bundesgericht insoweit nur klar und detailliert erhobene und soweit möglich belegte Rügen prüft, während es auf rein appellatorische Kritik am angefochtenen Entscheid nicht eintritt ( BGE 142 III 364 E. 2.4; 142 II 369 E. 2.1 S. 372; je mit Hinweisen). Rügt ein Beschwerdeführer die Verletzung von Art. 9 BV , genügt es daher nicht, wenn er bloss behauptet, der angefochtene Entscheid sei willkürlich. Er hat vielmehr anhand der Erwägungen des angefochtenen Entscheids im Einzelnen aufzuzeigen, inwiefern dieser an einem qualifizierten und offensichtlichen Mangel leidet ( BGE 134 II 244 E. 2.2 ; 130 I 258 E. 1.3 S. 262; je mit Hinweisen).</w:t>
      </w:r>
    </w:p>
    <w:p>
      <w:r>
        <w:rPr>
          <w:b/>
        </w:rPr>
        <w:t>E. 1.5</w:t>
      </w:r>
    </w:p>
    <w:p>
      <w:r>
        <w:t>Vorliegend macht der Beschwerdeführer zusammenfassend geltend, der angefochtene Entscheid sei aufzuheben, weil das geplante Bauvorhaben die kommunalen und kantonalen Bauvorschriften nicht einhalte, sondern es gegenteils die zum Schutz des Nachbarn aufgestellten Abstandsvorschriften verletze. Da das Bundesgericht die Anwendung der vom Beschwerdeführer angerufenen Vorschriften als solche nicht prüft, hätte er diesbezüglich die Verletzung von Bundesrechts, wie zum Beispiel des Willkürverbots geltend machen und aufzeigen müssen, inwiefern die Vorinstanz das kantonale Recht offensichtlich unrichtig angewandt hat (vgl. E. 1.3 hievor). Entsprechende Rügen werden jedoch in der Beschwerde nicht oder jedenfalls nicht entsprechend den Begründungsanforderungen gemäss Art. 106 Abs. 2 BGG erhoben. Vielmehr übt der Beschwerdeführer bloss appellatorische Kritik an der vorinstanzlichen Anwendung kantonalen Rechts. Auf die Beschwerde ist daher insgesamt mangels rechtsgenüglich begründeter Rügen nicht einzutreten (vgl. Urteil 1C_287/2015 vom 2. November 2015 E. 6.3).</w:t>
      </w:r>
    </w:p>
    <w:p>
      <w:r>
        <w:rPr>
          <w:b/>
        </w:rPr>
        <w:t>E. 2</w:t>
      </w:r>
    </w:p>
    <w:p>
      <w:r>
        <w:t>Bei diesem Ausgang des Verfahrens sind die Gerichtskosten dem unterliegenden Beschwerdeführer aufzuerlegen ( Art. 66 Abs. 1 BGG ). Dieser hat überdies die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