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1C_668/2019 vom 30. Dezember 2019</w:t>
      </w:r>
    </w:p>
    <w:p>
      <w:r>
        <w:t>Bundesgericht, 2019-12-30, DE</w:t>
      </w:r>
    </w:p>
    <w:p>
      <w:r>
        <w:rPr>
          <w:b/>
        </w:rPr>
        <w:t xml:space="preserve">Quelle: </w:t>
      </w:r>
      <w:r>
        <w:t>https://mcp.opencaselaw.ch/entscheid/bger_1C_668_2019</w:t>
      </w:r>
    </w:p>
    <w:p>
      <w:r>
        <w:t>FR: TF 1C_668/2019 du 30 décembre 2019</w:t>
      </w:r>
    </w:p>
    <w:p>
      <w:r>
        <w:t>IT: TF 1C_668/2019 del 30 dicembre 2019</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vorliegt, so ist auszuführen, warum diese Voraussetzung erfüllt ist ( BGE 145 IV 99 E. 1.5 S. 107 mit Hinweisen).</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Gemäss Art. 93 Abs. 2 BGG sind auf dem Gebiet der internationalen Rechtshilfe in Strafsachen Zwischenentscheide nicht anfechtbar. Vorbehalten bleiben Beschwerden gegen Entscheide unter anderem über die Auslieferungshaft, sofern die Voraussetzungen von Abs. 1 erfüllt sind. Dies trifft zu, denn der erlittene Freiheitsentzug kann nicht mehr rückgängig gemacht werden ( BGE 136 IV 20 E. 1.1 S. 22).</w:t>
      </w:r>
    </w:p>
    <w:p>
      <w:r>
        <w:t>Auch ein Entscheid über die Auslieferungshaft ist jedoch nur anfechtbar, wenn ein besonders bedeutender Fall nach Art. 84 BGG gegeben ist ( BGE 136 IV 20 E. 1.2 S. 22 mit Hinweisen).</w:t>
      </w:r>
    </w:p>
    <w:p>
      <w:r>
        <w:rPr>
          <w:b/>
        </w:rPr>
        <w:t>E. 1.3</w:t>
      </w:r>
    </w:p>
    <w:p>
      <w:r>
        <w:t>Vorliegend handelt es sich nicht um einen besonders bedeutenden Fall.</w:t>
      </w:r>
    </w:p>
    <w:p>
      <w:r>
        <w:t>Der Beschwerdeführer behauptet, der Beschluss des Amtsgerichts Freiburg im Breisgau vom 4. Juni 2013 sei ihm "nicht resp. nicht korrekt" zugestellt worden. Der angefochtene Entscheid enthält dazu keine Ausführungen und der Beschwerdeführer behauptet nicht, diesen angeblichen schweren Mangel des Verfahrens im Ausland vor dem Bundesstrafgericht geltend gemacht zu haben. Er selbst legt eine Empfangsbestätigung vor, die sich auf ein Schreiben vom 5. Juni 2013 und einen Beschluss des Amtsgerichts Freiburg im Breisgau vom 5. Juni 2013 bezieht. Angesichts des Umstands, dass er keine näheren Angaben dazu macht, um welchen anderen Beschluss es sich dabei handelt, erscheint nicht ausgeschlossen, dass ein blosser Kanzleifehler in der Datumsbezeichnung vorliegt. Jedenfalls kann gestützt auf die Vorbringen des Beschwerdeführers die Auslieferung nicht als offensichtlich unzulässig bezeichnet werden ( Art. 51 Abs. 1 IRSG [SR 351.1]).</w:t>
      </w:r>
    </w:p>
    <w:p>
      <w:r>
        <w:t>Weiter bestreitet der Beschwerdeführer die Fluchtgefahr. Er macht jedoch nicht geltend, dass die Vorinstanz diesbezüglich von der einschlägigen bundesgerichtlichen Rechtsprechung abgewichen wäre oder dass in anderer Hinsicht rechtliche Grundsatzfragen von besonderer Bedeutung zu behandeln wären. Die haftrechtlichen Erwägungen der Vorinstanz stützen sich auf die massgeblichen Rechtsquellen und die einschlägige Gerichtspraxis. Es besteht kein Anlass dafür, dass das Bundesgericht sich nochmals damit befasst. Dass das Bundesstrafgericht der Auffassung des Beschwerdeführers nicht gefolgt ist, begründet keinen besonders bedeutenden Fall im Sinne von Art. 84 BGG .</w:t>
      </w:r>
    </w:p>
    <w:p>
      <w:r>
        <w:t>Für das Bundesgericht besteht daher kein Anlass, die Sache an die Hand zu nehmen.</w:t>
      </w:r>
    </w:p>
    <w:p>
      <w:r>
        <w:rPr>
          <w:b/>
        </w:rPr>
        <w:t>E. 2</w:t>
      </w:r>
    </w:p>
    <w:p>
      <w:r>
        <w:t>Auf die Beschwerde ist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