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1C_665/2013 vom 24. März 2014</w:t>
      </w:r>
    </w:p>
    <w:p>
      <w:r>
        <w:t>Bundesgericht, 2014-03-24, FR</w:t>
      </w:r>
    </w:p>
    <w:p>
      <w:r>
        <w:rPr>
          <w:b/>
        </w:rPr>
        <w:t xml:space="preserve">Quelle: </w:t>
      </w:r>
      <w:r>
        <w:t>https://mcp.opencaselaw.ch/entscheid/bger_1C_665_2013</w:t>
      </w:r>
    </w:p>
    <w:p>
      <w:r>
        <w:t>FR: TF 1C_665/2013 du 24 mars 2014</w:t>
      </w:r>
    </w:p>
    <w:p>
      <w:r>
        <w:t>IT: TF 1C_665/2013 del 24 marzo 2014</w:t>
      </w:r>
    </w:p>
    <w:p>
      <w:pPr>
        <w:pStyle w:val="Heading2"/>
      </w:pPr>
      <w:r>
        <w:t>Erwägungen</w:t>
      </w:r>
    </w:p>
    <w:p>
      <w:r>
        <w:rPr>
          <w:b/>
        </w:rPr>
        <w:t>E. 1</w:t>
      </w:r>
    </w:p>
    <w:p>
      <w:r>
        <w:t>Le recours est fondé sur l' art. 82 let. a LTF . Il est dirigé contre un arrêt final ( art. 90 LTF ) rendu en dernière instance cantonale ( art. 86 al. 1 let . d LTF) dans une cause relevant du droit public. Les recourants, dont le recours cantonal a été déclaré irrecevable, ont qualité au sens de l' art. 89 LTF pour contester ce prononcé, indépendamment de leur qualité pour agir sur le fond.</w:t>
      </w:r>
    </w:p>
    <w:p>
      <w:r>
        <w:rPr>
          <w:b/>
        </w:rPr>
        <w:t>E. 2</w:t>
      </w:r>
    </w:p>
    <w:p>
      <w:r>
        <w:t>Dans un grief formel, les recourants reprochent à la Chambre administrative d'avoir violé leur droit d'être entendus. Dans leurs observations complémentaires du 26 avril 2013, ils estimaient que l'admission de leur recours cantonal pourrait leur procurer un avantage idéal en ce sens que cela permettrait de rétablir la vérité: contrairement à ce que retenait le Conseil d'Etat, l'exercice du droit de préemption communal ne tendait pas à réaliser moins de logements. La cour cantonale n'aurait pas statué sur ce grief.</w:t>
      </w:r>
    </w:p>
    <w:p>
      <w:r>
        <w:rPr>
          <w:b/>
        </w:rPr>
        <w:t>E. 2.1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139 IV 179 consid. 2.2 p. 183; 137 II 266 consid. 3.2 p. 270; 136 I 229 consid. 5.2 p. 236).</w:t>
      </w:r>
    </w:p>
    <w:p>
      <w:r>
        <w:rPr>
          <w:b/>
        </w:rPr>
        <w:t>E. 2.2</w:t>
      </w:r>
    </w:p>
    <w:p>
      <w:r>
        <w:t>L'argument dont se prévalent les recourants figurait dans des observations complémentaires, en réponse à la contestation concernant leur qualité pour recourir. Pour l'essentiel, les recourants prenaient position sur deux arrêts rendus dans ce domaine par la cour cantonale. Celle-ci s'est prononcée à ce sujet en relevant d'une part que les droits politiques des recourants n'étaient pas en jeu dans un tel contexte, et d'autre part qu'en tant que conseillers municipaux, ceux-ci n 'étaient pas touchés plus que quiconque par l'arrêté attaqué, dès lors qu'un éventuel droit de recours devait être exercé par la commune elle-même. Cette dernière appréciation se rapportait également au droit de rectification dont se prévalaient les recourants, puisqu'il appartenait le cas échéant à l'autorité communale de défendre ses propres délibérations et d'en exposer au besoin les motifs. L'argument, au demeurant peu développé par les recourants, n'appelait dès lors pas de motivation spécifique.</w:t>
      </w:r>
    </w:p>
    <w:p>
      <w:r>
        <w:rPr>
          <w:b/>
        </w:rPr>
        <w:t>E. 3</w:t>
      </w:r>
    </w:p>
    <w:p>
      <w:r>
        <w:t>Sur le fond, invoquant l' art. 29 al. 1 Cst. ainsi qu'une application arbitraire de l'art. 60 al. 1 de la loi genevoise sur la procédure administrative (LPA/GE), les recourants reprochent à la Chambre administrative d'avoir commis un déni de justice en leur déniant la qualité pour recourir contre l'arrêté du Conseil d'Etat. En tant que membres du Conseil communal dont la délibération avait été annulée, ils pouvaient se prévaloir d'un intérêt digne de protection; ils invoquaient également leur droit de vote. Les recourants relèvent que selon un arrêt de la Chambre administrative rendu en 2010, les conseillers municipaux pourraient se prévaloir de leurs droits politiques à l'encontre de l'annulation d'une délibération municipale. Selon un autre arrêt rendu en février 2013, des conseillers municipaux auraient qualité pour agir lorsque, comme en l'espèce, le conseil municipal charge le conseil administratif de recourir contre l'annulation d'une délibération par le Conseil d'Etat.</w:t>
      </w:r>
    </w:p>
    <w:p>
      <w:r>
        <w:rPr>
          <w:b/>
        </w:rPr>
        <w:t>E. 3.1</w:t>
      </w:r>
    </w:p>
    <w:p>
      <w:r>
        <w:t>L' art. 60 al. 1 LPA /GE reconnaît notamment la qualité pour recourir aux personnes suivantes: a) les parties à la procédure qui a abouti à la décision attaquée; b) toute personne qui est touchée directement par une décision et a un intérêt personnel digne de protection à ce qu'elle soit annulée ou modifiée; d) les organes compétents des communes, établissements et corporations de droit public lorsqu'ils allèguent une violation de l'autonomie que leur garantit la loi et la constitution; e) les autorités, personnes et organisations auxquelles la loi reconnaît le droit de recourir. Comme l'exige l' art. 111 al. 1 LTF pour les causes susceptibles d'être portées devant le Tribunal fédéral, les lettres a et b de cette disposition correspondent à l' art. 89 al. 1 LTF .</w:t>
      </w:r>
    </w:p>
    <w:p>
      <w:r>
        <w:t>L'intérêt personnel digne de protection consiste dans l'utilité pratique que l'admission du recours apporterait au recourant, en lui évitant de subir un préjudice de nature économique, idéale, matérielle ou autre que la décision attaquée lui occasionnerait ( ATF 138 III 537 consid. 1.2.2 p. 539). Un intérêt seulement indirect à son annulation ou à sa modification n'est pas suffisant ( ATF 138 V 292 consid. 4 p. 296). La qualité pour recourir d'un tiers, qui n'est pas le destinataire de la décision attaquée, ne peut être admise que de façon très limitée. Elle suppose que le tiers soit lui-même atteint de manière particulière par le prononcé litigieux ( ATF 139 II 279 consid. 2.2 p. 282; 137 III 67 consid. 3.5 p. 74).</w:t>
      </w:r>
    </w:p>
    <w:p>
      <w:r>
        <w:rPr>
          <w:b/>
        </w:rPr>
        <w:t>E. 3.2</w:t>
      </w:r>
    </w:p>
    <w:p>
      <w:r>
        <w:t>En l'occurrence, à l'instar de tout membre d'une autorité dont une décision se trouve remise en cause par l'instance supérieure, les membres du conseil communal ne sont pas personnellement touchés par l'annulation d'une délibération. Les recourants n'indiquent d'ailleurs nullement quel préjudice d'ordre économique ou idéal il pourraient retirer d'une annulation de l'arrêté du Conseil d'Etat. Ils ne sont pas intéressés à titre personnel à l'exercice du droit de préemption de la commune. Ils contestent certes les motifs retenus par le Conseil d'Etat, mais, qu'il s'agisse de l'application correcte du droit ou de l'établissement des faits, cela ne saurait constituer un intérêt personnel et digne de protection au sens de l' art. 60 al. 1 let. b LPA /GE.</w:t>
      </w:r>
    </w:p>
    <w:p>
      <w:r>
        <w:t>L'arrêt attaqué retient que les recourants ne peuvent pas se prévaloir de leurs droits politiques dans la mesure où la délibération municipale n'était pas issue d'une initiative populaire. Les recourants ne contestent pas cette appréciation. Le parallèle avec l'arrêt de la Chambre administrative de 2010 est par ailleurs sans pertinence, dès lors que celui-ci se rapportait au processus même de délibération du conseil communal. Quant à l'arrêt de 2013, il confirme lui aussi que seul le conseil administratif communal a qualité pour contester l'annulation, par le Conseil d'Etat, d'une délibération municipale (art. 70 al. 5 de la loi cantonale sur l'administration des communes). Qu'il exerce effectivement ce droit de recours, ou qu'il y soit invité par le conseil municipal, ne change rien à la qualité pour agir des recourants. Il n'y a aucune contradiction dans la jurisprudence cantonale à ce sujet.</w:t>
      </w:r>
    </w:p>
    <w:p>
      <w:r>
        <w:rPr>
          <w:b/>
        </w:rPr>
        <w:t>E. 3.3</w:t>
      </w:r>
    </w:p>
    <w:p>
      <w:r>
        <w:t>L'arrêt attaqué procède dès lors d'une application du droit cantonal dénuée d'arbitraire. La décision d'irrecevabilité ne constitue pas non plus un déni de justice formel puisqu'elle repose sur une interprétation soutenable du droit cantonal de procédure.</w:t>
      </w:r>
    </w:p>
    <w:p>
      <w:r>
        <w:rPr>
          <w:b/>
        </w:rPr>
        <w:t>E. 4</w:t>
      </w:r>
    </w:p>
    <w:p>
      <w:r>
        <w:t>Le recours doit par conséquent être rejeté. Conformément à l' art. 66 al. 1 LTF , les frais de la cause sont mis à la charge des recourants, de même que des indemnités de dépens allouées aux intimés M.________ SA, ainsi que L.________ et la Fondation K.________ ( art. 68 al. 2 LTF ). Il n'est en revanche pas alloué de dépens à la commune de Chêne-Bougeries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