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662/2023 vom 2. April 2024</w:t>
      </w:r>
    </w:p>
    <w:p>
      <w:r>
        <w:t>Bundesgericht, 2024-04-02, FR</w:t>
      </w:r>
    </w:p>
    <w:p>
      <w:r>
        <w:rPr>
          <w:b/>
        </w:rPr>
        <w:t xml:space="preserve">Quelle: </w:t>
      </w:r>
      <w:r>
        <w:t>https://mcp.opencaselaw.ch/entscheid/bger_1C_662_2023</w:t>
      </w:r>
    </w:p>
    <w:p>
      <w:r>
        <w:t>FR: TF 1C 662/2023 du 2 avril 2024</w:t>
      </w:r>
    </w:p>
    <w:p>
      <w:r>
        <w:t>IT: TF 1C 662/2023 del 2 aprile 2024</w:t>
      </w:r>
    </w:p>
    <w:p>
      <w:pPr>
        <w:pStyle w:val="Heading2"/>
      </w:pPr>
      <w:r>
        <w:t>Regeste</w:t>
      </w:r>
    </w:p>
    <w:p>
      <w:r>
        <w:t>Droit de la fonction publique; résiliation des rapports de service | Fonction publique</w:t>
      </w:r>
    </w:p>
    <w:p>
      <w:pPr>
        <w:pStyle w:val="Heading2"/>
      </w:pPr>
      <w:r>
        <w:t>Erwägungen</w:t>
      </w:r>
    </w:p>
    <w:p>
      <w:r>
        <w:rPr>
          <w:b/>
        </w:rPr>
        <w:t>E. 1</w:t>
      </w:r>
    </w:p>
    <w:p>
      <w:r>
        <w:t>Le Tribunal fédéral examine d'office ( art. 29 al. 1 LTF ) et librement la recevabilité des recours qui lui sont soumis ( ATF 149 II 66 consid. 1.3; 147 I 333 consid. 1). Dans la mesure où l'arrêt entrepris concerne une décision de résiliation des rapports de service, il s'agit d'une contestation de nature pécuniaire, de sorte que le motif d'exclusion de l' art. 83 let . g LTF ne s'applique pas. La valeur litigieuse dépasse par ailleurs le seuil de 15'000 fr. ouvrant la voie au recours en matière de droit public en ce domaine ( art. 51 al. 1 let. a et al. 2, art. 85 al. 1 let. b LTF ; cf. arrêt 1C_454/2023 du 9 février 2024 consid. 1). Les autres conditions de recevabilité sont au surplus réunies, si bien qu'il convient en principe d'entrer en matière.</w:t>
      </w:r>
    </w:p>
    <w:p>
      <w:r>
        <w:rPr>
          <w:b/>
        </w:rPr>
        <w:t>E. 2</w:t>
      </w:r>
    </w:p>
    <w:p>
      <w:r>
        <w:t>Dans un grief d'ordre formel, le recourant se plaint d'une violation de son droit d'être entendu ( art. 29 al. 2 Cst. ), au motif que la DSJS a indiqué au service des ressources humaines de la Police cantonale qu'il n'était pas nécessaire de répondre à certaines des questions posées par le recourant dans son courrier du 27 janvier 2023. Dans ce cadre, il invoque également une violation de l'art. 40 al. 1 de la loi fribourgeoise du 17 octobre 2001 sur le personnel de l'État (LPers/FR; RSF 122.70.1) et de l'art. 29 al. 4 de son règlement du 17 décembre 2002 (RPers/FR; RSF 122.70.11), qui garantissent le droit d'être entendu de la personne concernée par une procédure de licenciement ordinaire.</w:t>
      </w:r>
    </w:p>
    <w:p>
      <w:r>
        <w:rPr>
          <w:b/>
        </w:rPr>
        <w:t>E. 2.1.1</w:t>
      </w:r>
    </w:p>
    <w:p>
      <w:r>
        <w:t>Le droit d'être entendu garanti par l' art. 29 al. 2 Cst. comprend notamment le droit pour la personne intéressée de s'exprimer sur les éléments pertinents avant qu'une décision ne soit prise en lien avec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2.1.2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La partie recourante doit alors expliquer de manière circonstanciée en quoi ces conditions seraient réalisées ( art. 106 al. 2 LTF ).</w:t>
      </w:r>
    </w:p>
    <w:p>
      <w:r>
        <w:rPr>
          <w:b/>
        </w:rPr>
        <w:t>E. 2.2</w:t>
      </w:r>
    </w:p>
    <w:p>
      <w:r>
        <w:t>En l'espèce, le recourant a, dans son courrier du 27 janvier 2023 adressé à la DSJS, soumis un certain nombre de questions qu'il souhaitait voir transmises aux ressources humaines de la Police cantonale. Le recourant prétend que ce courrier avait pour but d'obtenir des précisions sur l'ensemble de la procédure de licenciement. Selon les autorités cantonales, ledit courrier ne devait servir qu'à clarifier la situation s'agissant de la convention proposée au recourant par la DSJS. Dès lors que le recourant ne fait pas valoir que l'autorité précédente aurait établi les faits de manière arbitraire, il ressort du dossier que les questions adressées aux ressources humaines visaient à soupeser la proposition de convention faite par la DSJS et non à instruire une nouvelle fois la procédure de licenciement. En transférant ledit courrier aux ressources humaines, la DSJS a ainsi précisé qu'elles n'étaient pas tenues de répondre aux questions qui portaient sur le rapport d'évaluation du 14 juillet 2022 et n'étaient par conséquent pas en lien avec la proposition de convention. Ce faisant, la DSJS a considéré, par appréciation anticipée des preuves, que l'instruction relative à la procédure de licenciement était suffisante. Dans la mesure où le recourant a pu se déterminer à plusieurs reprises, par écrit et par oral, sur l'ensemble de la procédure, il n'apparaît pas que la DSJS, en procédant de la sorte, aurait fait preuve d'arbitraire ou aurait violé le droit d'être entendu du recourant. Partant, ce grief doit être écarté.</w:t>
      </w:r>
    </w:p>
    <w:p>
      <w:r>
        <w:rPr>
          <w:b/>
        </w:rPr>
        <w:t>E. 3</w:t>
      </w:r>
    </w:p>
    <w:p>
      <w:r>
        <w:t>Le recourant reproche à l'autorité précédente d'avoir appliqué arbitrairement le droit cantonal ( art. 29 al. 2 et 3 LPers /FR).</w:t>
      </w:r>
    </w:p>
    <w:p>
      <w:r>
        <w:rPr>
          <w:b/>
        </w:rPr>
        <w:t>E. 3.1.1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il incombe à la partie recourante d'exposer une argumentation spécifique qui réponde aux exigences accrues de motivation de l' art. 106 al. 2 LTF ( ATF 149 III 81 consid. 1.3; 146 I 62 consid. 3).</w:t>
      </w:r>
    </w:p>
    <w:p>
      <w:r>
        <w:rPr>
          <w:b/>
        </w:rPr>
        <w:t>E. 3.1.2</w:t>
      </w:r>
    </w:p>
    <w:p>
      <w:r>
        <w:t>L'art. 29 al. 1 RPers/FR prévoit que la procédure de licenciement ne peut être introduite qu'après avoir adressé une lettre d'avertissement au collaborateur ou à la collaboratrice. Cette lettre d'avertissement indique les carences constatées ainsi que les attentes d'amélioration et fixe un délai raisonnable pour y remédier (art. 29 al. 2 RPers/FR; cf. arrêt 8C_118/2013 du 11 février 2014 consid. 5.2). Au terme du délai fixé dans la lettre d'avertissement, si les insuffisances constatées persistent, l'autorité d'engagement ou la personne désignée par elle ouvre la procédure de licenciement et, le cas échéant, procède aux mesures d'instruction nécessaires en vue de compléter le dossier (art. 29 al. 3 RPers/FR).</w:t>
      </w:r>
    </w:p>
    <w:p>
      <w:r>
        <w:rPr>
          <w:b/>
        </w:rPr>
        <w:t>E. 3.2</w:t>
      </w:r>
    </w:p>
    <w:p>
      <w:r>
        <w:t>Le recourant soutient qu'il ne pouvait être évalué sur d'autres critères que les objectifs fixés dans la lettre d'avertissement et son annexe. En particulier, il estime avoir rempli l'objectif 1 dès lors qu'il n'a fait l'objet d'aucune remarque pendant la période d'observation. A défaut de remarque, une procédure de licenciement n'aurait pu être ouverte. Le fait que l'autorité ait également tenu compte de son attitude générale, à savoir qu'il ne se montrait pas proactif, et du fait qu'il n'avait pas adapté ses horaires de travail à ceux définis pour le guichet, serait contraire à l'art. 29 al. 2 et 3 RPers/FR.</w:t>
      </w:r>
    </w:p>
    <w:p>
      <w:r>
        <w:rPr>
          <w:b/>
        </w:rPr>
        <w:t>E. 3.3</w:t>
      </w:r>
    </w:p>
    <w:p>
      <w:r>
        <w:t>En l'espèce, l'autorité précédente a considéré que les prestations du recourant ne devaient pas être examinées exclusivement à l'aune des objectifs fixés dans la lettre d'avertissement et son annexe; d'autres prestations, telles que son attitude, sa motivation et ses compétences, devaient aussi être prises en compte. Outre les objectifs précis fixés dans son annexe et les remarques générales concernant l'attitude du recourant, la lettre exigeait également de ce dernier qu'il change véritablement et durablement son comportement pour démontrer qu'il était en mesure de répondre aux exigences du métier de policier. Au surplus, le tribunal cantonal relève que l'objectif 1 requérait du recourant qu'il desserve le guichet de la réception selon les horaires d'ouverture; dans la mesure où l'évaluation mentionne qu'il n'a pas respecté ce point, les exigences de l'objectif 1 ne pouvaient être considérées comme atteintes. Sur la base de ces éléments, l'autorité cantonale a constaté que le recourant n'avait pas rempli l'objectif 1, justifiant l'ouverture d'une procédure de licenciement ordinaire.</w:t>
      </w:r>
    </w:p>
    <w:p>
      <w:r>
        <w:rPr>
          <w:b/>
        </w:rPr>
        <w:t>E. 3.4</w:t>
      </w:r>
    </w:p>
    <w:p>
      <w:r>
        <w:t>Le raisonnement du tribunal cantonal échappe à l'arbitraire. Il ressort en effet du dossier que la lettre d'avertissement et son annexe, d'une part, fixaient au recourant des objectifs précis et, d'autre part, exigeaient une modification de son comportement général. Or, l'évaluation du 14 juillet 2022 révèle que le recourant n'a ni complètement atteint l'objectif 1, faute d'avoir adapté ses horaires aux heures d'ouverture du guichet, ni modifié son attitude générale en faisant preuve de motivation et de proactivité. En d'autres termes, malgré le fait qu'il avait été communiqué au recourant que des améliorations, précisées dans la lettre d'avertissement et son annexe, étaient attendues de sa part, les insuffisances avaient persisté pendant la période d'observation. Cette constatation avait donné lieu à l'ouverture d'une procédure de licenciement. A cet égard, le recourant se contente, de manière appellatoire, d'affirmer avoir atteint l'objectif 1 et de contester qu'il lui avait été demandé de modifier son attitude générale. En tout état, même si des critères plus généraux que ceux fixés par les objectifs de la lettre d'avertissement et son annexe avaient été retenus pour fonder l'ouverture de la procédure de licenciement, on ne saurait pour autant retenir, en l'espèce, une application arbitraire de l'art. 29 al. 2 et 3 RPers/FR. En effet, la lettre d'avertissement, qui faisait état d'une attitude de suffisance et d'un manque de motivation et d'engagement, précisait également que ces manquements ressortaient déjà des évaluations des années précédentes. Par conséquent, l'ouverture d'une procédure de licenciement notamment au motif que le recourant continuait à faire preuve de suffisance et d'un manque d'engagement, de motivation et de proactivité, alors que ces manquements lui étaient reprochés depuis plusieurs années et avaient été mentionnés dans l'avertissement, n'apparaît pas manifestement contraire au sens et au but de l'art. 29 al. 2 et 3 RPers/FR. En effet, cette disposition vise à permettre à la personne visée d'améliorer d'éventuels manquements pendant la période d'observation (cf. consid. 3.1.2 ci-dessus). Au vu de ce qui précède, il n'apparaît pas que le tribunal cantonal ait fait preuve d'arbitraire dans l'application de l'art. 29 RPers/FR.</w:t>
      </w:r>
    </w:p>
    <w:p>
      <w:r>
        <w:rPr>
          <w:b/>
        </w:rPr>
        <w:t>E. 3.5</w:t>
      </w:r>
    </w:p>
    <w:p>
      <w:r>
        <w:t>Le recourant estime encore qu'il aurait dû être renoncé à un licenciement dès lors qu'il avait atteint les objectifs fixés; une autre solution aurait violé l'art. 29 al. 5 RPers/FR, ainsi que le principe de proportionnalité et de la bonne foi. Dans la mesure où il a été vu ci-dessus que l'autorité précédente avait à juste titre considéré que le recourant n'avait pas atteint certains des objectifs fixés, ce grief, mal fondé, doit être écarté.</w:t>
      </w:r>
    </w:p>
    <w:p>
      <w:r>
        <w:rPr>
          <w:b/>
        </w:rPr>
        <w:t>E. 4</w:t>
      </w:r>
    </w:p>
    <w:p>
      <w:r>
        <w:t>Il s'ensuit que le recours est rejeté. Les frais judiciaires, arrêtés à 3'000 fr., sont mis à la charge du recourant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