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1C_662/2022 vom 29. Dezember 2022</w:t>
      </w:r>
    </w:p>
    <w:p>
      <w:r>
        <w:t>Bundesgericht, 2022-12-29, DE</w:t>
      </w:r>
    </w:p>
    <w:p>
      <w:r>
        <w:rPr>
          <w:b/>
        </w:rPr>
        <w:t xml:space="preserve">Quelle: </w:t>
      </w:r>
      <w:r>
        <w:t>https://mcp.opencaselaw.ch/entscheid/bger_1C_662_2022</w:t>
      </w:r>
    </w:p>
    <w:p>
      <w:r>
        <w:t>FR: TF 1C_662/2022 du 29 décembre 2022</w:t>
      </w:r>
    </w:p>
    <w:p>
      <w:r>
        <w:t>IT: TF 1C_662/2022 del 29 dicembre 2022</w:t>
      </w:r>
    </w:p>
    <w:p>
      <w:pPr>
        <w:pStyle w:val="Heading2"/>
      </w:pPr>
      <w:r>
        <w:t>Erwägungen</w:t>
      </w:r>
    </w:p>
    <w:p>
      <w:r>
        <w:rPr>
          <w:b/>
        </w:rPr>
        <w:t>E. 1</w:t>
      </w:r>
    </w:p>
    <w:p>
      <w:r>
        <w:t>Das Beschwerdeverfahren ist in der Sache offensichtlich gegenstandslos, da der Streitgegenstand - die Gewaltschutzmassnahmen - nicht mehr besteht und der Beschwerdeführer damit kein aktuelles Rechtsschutzinteresse an der Behandlung seiner Beschwerde mehr hat. Es liegt, entgegen seiner Auffassung, auch keine Konstellation vor, in der das Bundesgericht auf dieses Erfordernis verzichten könnte, weil es Gewaltschutzangelegenheiten sonst kaum je beurteilen könnte (vgl. BGE 140 IV 74 E. 1.3.3 mit Hinweis). Dies zeigt gerade der vorliegende Fall: hätte der Beschwerdeführer das Rechtsmittel zügig eingereicht, wäre dem Bundesgericht die Behandlung seiner Beschwerde vor dem Auslaufen der Gewaltschutzmassnahmen am 28. Dezember zeitlich wohl möglich gewesen. Das Verfahren ist als gegenstandslos geworden abzuschreiben.</w:t>
      </w:r>
    </w:p>
    <w:p>
      <w:r>
        <w:rPr>
          <w:b/>
        </w:rPr>
        <w:t>E. 2</w:t>
      </w:r>
    </w:p>
    <w:p>
      <w:r>
        <w:t>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