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1C_65/2024 vom 15. Februar 2024</w:t>
      </w:r>
    </w:p>
    <w:p>
      <w:r>
        <w:t>Bundesgericht, 2024-02-15, FR</w:t>
      </w:r>
    </w:p>
    <w:p>
      <w:r>
        <w:rPr>
          <w:b/>
        </w:rPr>
        <w:t xml:space="preserve">Quelle: </w:t>
      </w:r>
      <w:r>
        <w:t>https://mcp.opencaselaw.ch/entscheid/bger_1C_65_2024</w:t>
      </w:r>
    </w:p>
    <w:p>
      <w:r>
        <w:t>FR: TF 1C_65/2024 du 15 février 2024</w:t>
      </w:r>
    </w:p>
    <w:p>
      <w:r>
        <w:t>IT: TF 1C_65/2024 del 15 febbraio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décision de clôture du MPC prévoit la transmission de renseignements bancaires à l'autorité requérante. La première condition posée à l' art. 84 al. 1 LTF est ainsi réalisée.</w:t>
      </w:r>
    </w:p>
    <w:p>
      <w:r>
        <w:rPr>
          <w:b/>
        </w:rPr>
        <w:t>E. 1.2</w:t>
      </w:r>
    </w:p>
    <w:p>
      <w:r>
        <w:t>S'agissant de la seconde, la recourante se réfère à ses griefs relatifs à la violation du principe de la bonne foi et au formalisme excessif; elle estime que l'ultime délai fixé dans la lettre du 29 décembre 2023 (soit un vendredi, veille d'un week-end en période de fêtes, reçue le 3 janvier 2024) pour produire le certificat était d'emblée impossible à respecter, s'agissant d'un document à obtenir dans un pays d'Amérique latine. A propos du déni de justice formel, la recourante estime que l'exigence d'un Certificate of Incumbancy récent ne se justifiait pas et ne pouvait être anticipée; le principe de célérité n'empêchait pas de donner suite à la demande de prolongation de délai formulée le 11 janvier 2024, alors qu'il n'y avait pas d'urgence particulière et que la procédure a débuté en octobre 2021.</w:t>
      </w:r>
    </w:p>
    <w:p>
      <w:r>
        <w:rPr>
          <w:b/>
        </w:rPr>
        <w:t>E. 1.2.1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w:t>
      </w:r>
    </w:p>
    <w:p>
      <w:r>
        <w:rPr>
          <w:b/>
        </w:rPr>
        <w:t>E. 1.2.2</w:t>
      </w:r>
    </w:p>
    <w:p>
      <w:r>
        <w:t>Les arguments de la recourante ne permettent pas d'admettre l'existence d'un déni de justice évident pouvant justifier une entrée en matière. Les exigences de la Cour des plaintes concernant les procuration et certificat d'existence récents ne procèdent en rien d'un formalisme excessif, s'agissant de démontrer l'existence de la société recourante au moment même du dépôt du recours, ainsi que les pouvoirs effectifs des personnes censées la représenter à ce moment-là (cf. arrêt 1C_38/2022 du 27 janvier 2022). Le délai imparti pour produire ce document correspond également à la pratique en matière d'entraide judiciaire, régie par le principe de célérité, où les délais sont notoirement raccourcis et les féries inexistantes ( art. 12 al. 2 EIMP ). La recourante a d'ailleurs obtenu, conformément à l' art. 52 al. 2 PA , un court délai pour produire les documents manquants, et ni la loi ni la Constitution n'imposent la fixation d'un délai supplémentaire pour y remédier, en particulier lorsque la partie recourante agit par l'entremise d'un mandataire professionnel censé savoir d'emblée quels documents doivent être produits à l'appui d'un recours formé par une société étrangère contre une ordonnance de clôture (arrêts 1C_38/2022 du 27 janvier 2022 consid. 2.2; 1C_698/2020 du 8 février 2021 consid. 3.2). Dès lors que le délai fixé au 11 janvier 2024 n'était pas prolongeable et que les conséquences d'un défaut de production étaient clairement exposées, le prononcé d'irrecevabilité ne constitue nullement un déni de justice.</w:t>
      </w:r>
    </w:p>
    <w:p>
      <w:r>
        <w:rPr>
          <w:b/>
        </w:rPr>
        <w:t>E. 2</w:t>
      </w:r>
    </w:p>
    <w:p>
      <w:r>
        <w:t>Sur le vu de ce qui précède, la condition posée à l' art. 84 al. 2 LTF n'est pas remplie, ce qui entraîne l'irrecevabilité du recours.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