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1C_659/2013 vom 4. März 2014</w:t>
      </w:r>
    </w:p>
    <w:p>
      <w:r>
        <w:t>Bundesgericht, 2014-03-04, FR</w:t>
      </w:r>
    </w:p>
    <w:p>
      <w:r>
        <w:rPr>
          <w:b/>
        </w:rPr>
        <w:t xml:space="preserve">Quelle: </w:t>
      </w:r>
      <w:r>
        <w:t>https://mcp.opencaselaw.ch/entscheid/bger_1C_659_2013</w:t>
      </w:r>
    </w:p>
    <w:p>
      <w:r>
        <w:t>FR: TF 1C_659/2013 du 4 mars 2014</w:t>
      </w:r>
    </w:p>
    <w:p>
      <w:r>
        <w:t>IT: TF 1C_659/2013 del 4 marzo 2014</w:t>
      </w:r>
    </w:p>
    <w:p>
      <w:pPr>
        <w:pStyle w:val="Heading2"/>
      </w:pPr>
      <w:r>
        <w:t>Erwägungen</w:t>
      </w:r>
    </w:p>
    <w:p>
      <w:r>
        <w:rPr>
          <w:b/>
        </w:rPr>
        <w:t>E. 1</w:t>
      </w:r>
    </w:p>
    <w:p>
      <w:r>
        <w:t>Le Tribunal fédéral examine d'office sa compétence ( art. 29 al. 1 LTF ) et contrôle librement la recevabilité des recours qui lui sont soumis ( ATF 137 III 417 consid. 1 p. 417; 136 II 101 consid. 1 p. 103). Il n'est ainsi lié ni par l'intitulé du mémoire de recours (cf. ATF 133 I 300 consid. 1.2 p. 302), ni par la dénomination de l'acte attaqué.</w:t>
      </w:r>
    </w:p>
    <w:p>
      <w:r>
        <w:rPr>
          <w:b/>
        </w:rPr>
        <w:t>E. 2.1</w:t>
      </w:r>
    </w:p>
    <w:p>
      <w:r>
        <w:t>En vertu de l' art. 82 LTF , le Tribunal fédéral connaît notamment des recours dirigés contre les décisions rendues dans les causes de droit public (let. a) et contre les actes normatifs cantonaux (let. b).</w:t>
      </w:r>
    </w:p>
    <w:p>
      <w:r>
        <w:t>L' art. 87 al. 1 LTF prévoit qu'un recours est directement recevable contre les actes normatifs cantonaux qui ne peuvent faire l'objet d'un recours cantonal. Lorsque le droit cantonal prévoit toutefois un recours contre les actes normatifs ( art. 87 al. 2 LTF ), ou lorsque le recours est dirigé contre une décision cantonale, l'autorité précédente est en général l'autorité cantonale de dernière instance ( art. 86 al. 1 let . d LTF). Les cantons doivent ainsi instituer des tribunaux supérieurs qui statuent comme autorités précédant immédiatement le Tribunal fédéral ( art. 86 al. 2 LTF ; cf. également art. 130 al. 3 LTF ).</w:t>
      </w:r>
    </w:p>
    <w:p>
      <w:r>
        <w:rPr>
          <w:b/>
        </w:rPr>
        <w:t>E. 2.2</w:t>
      </w:r>
    </w:p>
    <w:p>
      <w:r>
        <w:t>En l'espèce, le recours est dirigé contre une loi au sens formel. D'un point de vue matériel cependant, l'acte attaqué ne présente pas les caractéristiques d'une loi, car les règles qu'il contient ne sont ni générales ni abstraites, et son objet est clairement individualisé: il s'agit de déclarer d'utilité publique la réalisation d'un plan localisé de quartier déterminé, qui porte lui-même sur un projet unique et parfaitement défini. La loi litigieuse équivalant ainsi matériellement à une décision, la recevabilité du recours déposé à son encontre doit se déterminer non pas d'après les critères applicables au recours dirigé contre un acte normatif, mais d'après ceux valables pour le recours formé contre une décision.</w:t>
      </w:r>
    </w:p>
    <w:p>
      <w:r>
        <w:t>Le Grand Conseil, qui a adopté l'acte attaqué, n'est pas une autorité judiciaire cantonale au sens de l' art. 86 LTF . Le recours est par conséquent irrecevable pour ce premier motif déjà.</w:t>
      </w:r>
    </w:p>
    <w:p>
      <w:r>
        <w:rPr>
          <w:b/>
        </w:rPr>
        <w:t>E. 3</w:t>
      </w:r>
    </w:p>
    <w:p>
      <w:r>
        <w:t>Le recours en matière de droit public est recevable contre les décisions qui mettent fin à la procédure ( art. 90 LTF ) ou contre les décisions partielles ( art. 91 LTF ). En revanche,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w:t>
      </w:r>
    </w:p>
    <w:p>
      <w:r>
        <w:rPr>
          <w:b/>
        </w:rPr>
        <w:t>E. 3.1</w:t>
      </w:r>
    </w:p>
    <w:p>
      <w:r>
        <w:t>Dans le cas particulier, la loi 11123 litigieuse a été adoptée sur la base de l'art. 6A LGZD et de la loi cantonale du 10 juin 1933 sur l'expropriation pour cause d'utilité publique (LEx-GE).</w:t>
      </w:r>
    </w:p>
    <w:p>
      <w:r>
        <w:t>Selon l' art. 3 LEx -GE, la constatation de l'utilité publique résulte notamment d'une loi déclarant de manière ponctuelle l'utilité publique d'un ouvrage déterminé. Dans ce sens, l'art. 6A LGZD permet au Grand Conseil, afin d'éviter les effets de servitudes de restriction à bâtir, de déclarer d'utilité publique la réalisation d'un plan de quartier, pour autant qu'au moins 60 % des surfaces de plancher soient destinées à l'édification de logements d'utilité publique. Lorsque l'utilité publique a été constatée, le droit d'expropriation est exercé par l'Etat ou la commune intéressée ( art. 4 LEx -GE).</w:t>
      </w:r>
    </w:p>
    <w:p>
      <w:r>
        <w:t>Le Grand Conseil statue sur l'opposition, en tant qu'elle porte sur l'utilité du projet ( art. 29 al. 2 LEx -GE). Lorsque l'utilité publique a été constatée par le Grand Conseil, le Conseil d'Etat décrète l'expropriation des immeubles et des droits dont la cession est nécessaire à l'exécution de l'ouvrage projeté ( art. 30 LEx -GE). Dans le cadre du recours (à la chambre administrative de la Cour de justice) contre l'arrêté du Conseil d'Etat, le recourant peut faire valoir des griefs portant sur l'utilité publique du projet ( art. 62 LEx -GE).</w:t>
      </w:r>
    </w:p>
    <w:p>
      <w:r>
        <w:t>Le Tribunal administratif de première instance (ci-après: le TAPI) est ensuite l'autorité compétente pour fixer les indemnités d'expropriation et, de manière générale, pour statuer sur toute contestation relative à l'expropriation ( art. 43 al. 1 LEx -GE).</w:t>
      </w:r>
    </w:p>
    <w:p>
      <w:r>
        <w:rPr>
          <w:b/>
        </w:rPr>
        <w:t>E. 3.2</w:t>
      </w:r>
    </w:p>
    <w:p>
      <w:r>
        <w:t>Il ressort de ce qui précède que, dans le canton de Genève, la procédure d'expropriation comporte deux phases distinctes: la première concerne l'exercice du droit d'expropriation (cf. titre I et III de la loi: droit d'expropriation et mesures préalables à l'expropriation) et la seconde l'indemnisation (cf. titre II et IV de la loi: indemnités et procédure devant le TAPI). La première phase elle-même se déroule en deux étapes, à savoir la constatation de l'utilité publique du projet par le Grand Conseil, suivie de l'arrêté du Conseil d'Etat décrétant l'expropriation (cf. art. 30 LEx -GE). D'après le système légal genevois, la constatation de l'utilité publique du projet ne peut pas être attaquée séparément et ne met donc pas fin à la procédure au sens de l' art. 90 LTF . La loi 11123 constitue dès lors une décision incidente, qui peut être attaquée en même temps que l'arrêté du Conseil d'Etat décrétant l'expropriation.</w:t>
      </w:r>
    </w:p>
    <w:p>
      <w:r>
        <w:rPr>
          <w:b/>
        </w:rPr>
        <w:t>E. 3.3</w:t>
      </w:r>
    </w:p>
    <w:p>
      <w:r>
        <w:t>L' art. 93 al. 1 let. b LTF est manifestement inapplicable, car il n'apparaît pas que l'admission du recours permettrait d'éviter une procédure probatoire longue et coûteuse.</w:t>
      </w:r>
    </w:p>
    <w:p>
      <w:r>
        <w:t>On ne voit pas non plus quel préjudice irréparable au sens de l' art. 93 al. 1 let. a LTF pourrait subir le recourant. Ce préjudice est en effet un dommage qui ne peut être réparé ultérieurement par un jugement final ou une autre décision favorable au recourant ( ATF 136 II 165 consid. 1.2.1 p. 170; 134 III 188 consid. 2.1 p. 190 et les références). Or l'intéressé pourra faire valoir ses éventuels griefs relatifs à l'utilité publique du PLQ au prochain stade de la procédure, contre l'arrêté du Conseil d'Etat décrétant l'expropriation de ses servitudes.</w:t>
      </w:r>
    </w:p>
    <w:p>
      <w:r>
        <w:t>Partant, le présent recours est également irrecevable sous l'angle de l' art. 93 al. 1 LTF .</w:t>
      </w:r>
    </w:p>
    <w:p>
      <w:r>
        <w:rPr>
          <w:b/>
        </w:rPr>
        <w:t>E. 4</w:t>
      </w:r>
    </w:p>
    <w:p>
      <w:r>
        <w:t>Au vu de ce qui précède, le recours doit être déclaré irrecevable, aux frais du recourant qui succombe ( art. 65 et 66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