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1C_658/2019 vom 28. Februar 2020</w:t>
      </w:r>
    </w:p>
    <w:p>
      <w:r>
        <w:t>Bundesgericht, 2020-02-28, FR</w:t>
      </w:r>
    </w:p>
    <w:p>
      <w:r>
        <w:rPr>
          <w:b/>
        </w:rPr>
        <w:t xml:space="preserve">Quelle: </w:t>
      </w:r>
      <w:r>
        <w:t>https://mcp.opencaselaw.ch/entscheid/bger_1C_658_2019</w:t>
      </w:r>
    </w:p>
    <w:p>
      <w:r>
        <w:t>FR: TF 1C_658/2019 du 28 février 2020</w:t>
      </w:r>
    </w:p>
    <w:p>
      <w:r>
        <w:t>IT: TF 1C_658/2019 del 28 febbraio 2020</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 Il convient donc d'entrer en matière sur le recours.</w:t>
      </w:r>
    </w:p>
    <w:p>
      <w:r>
        <w:rPr>
          <w:b/>
        </w:rPr>
        <w:t>E. 2</w:t>
      </w:r>
    </w:p>
    <w:p>
      <w:r>
        <w:t>L'entrée en vigueur, au 1</w:t>
      </w:r>
    </w:p>
    <w:p>
      <w:r>
        <w:t>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les faits se sont déroulés sous l'empire de l'ancien droit, de sorte que l'aLN s'applique.</w:t>
      </w:r>
    </w:p>
    <w:p>
      <w:r>
        <w:rPr>
          <w:b/>
        </w:rPr>
        <w:t>E. 3</w:t>
      </w:r>
    </w:p>
    <w:p>
      <w:r>
        <w:t>Le recourant se plaint d'une mauvaise application du droit. Il conteste avoir obtenu la naturalisation par des déclarations mensongères sur la stabilité de sa vie conjugale durant la procédure de naturalisation facilitée.</w:t>
      </w:r>
    </w:p>
    <w:p>
      <w:r>
        <w:rPr>
          <w:b/>
        </w:rPr>
        <w:t>E. 3.1.1</w:t>
      </w:r>
    </w:p>
    <w:p>
      <w:r>
        <w:t>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(arrêts 1C_272/2009 du 8 septembre 2009 consid. 3.1, in SJ 2010 p. 69; 1C_142/2019 du 27 juin 2019 consid. 4.1; 1C_98/2019 du 3 mai 2019 consid. 3.1).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Le fait de taxer de plus ou moins rapide un enchaînement de circonstances pertinentes pour l'issue d'un litige relève du pouvoir d'appréciation du juge, opération dans le cadre de laquelle le Tribunal fédéral n'intervient qu'en cas d'excès de ce pouvoir (arrêts 1C_142/2019 du 27 juin 2019 consid. 4.2; 1C_172/2012 du 11 mai 2012 consid. 2.3).</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constaté qu'il s'était écoulé moins de 18 mois entre la signature de la déclaration de vie commune (4 juin 2010) et la séparation des époux (30 novembre 2011). Au vu de ces éléments de fait non contestés par le recourant, le Tribunal administratif fédéral pouvait à juste titre considérer que le laps de temps écoulé entre ces deux événements permettait encore d'appliquer la présomption selon laquelle, au moment de la signature de la déclaration de vie commune, la communauté conjugale n'était plus stable et orientée vers l'avenir.</w:t>
      </w:r>
    </w:p>
    <w:p>
      <w:r>
        <w:t>Pour l'instance précédente, la présomption était renforcée notamment par les relations extraconjugales entretenues durant deux phases avec la mère de ses enfants, l'une vers le mois de novembre 2009 et l'autre vers le mois de mars 2011. Par ailleurs, son ex-épouse avait confirmé que le couple avait rencontré des difficultés durant la deuxième moitié de l'année 2009, période correspondant à la première relation extraconjugale.</w:t>
      </w:r>
    </w:p>
    <w:p>
      <w:r>
        <w:t>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3.3</w:t>
      </w:r>
    </w:p>
    <w:p>
      <w:r>
        <w:t>Pour renverser cette présomption, le recourant affirme qu'il n'a pas menti. Il soutient notamment qu'il est notoire que les infidélités n'impliquent pas forcément une séparation et ajoute qu'on ne saurait retenir son infidélité comme la preuve qu'il ne concevait pas sa vie conjugale comme stable et tournée vers l'avenir. Il ajoute qu'il a appris seulement en 2011 qu'il avait un enfant avec C._________.</w:t>
      </w:r>
    </w:p>
    <w:p>
      <w:r>
        <w:t>Les explications du recourant ne sont toutefois pas convaincantes et ne permettent manifestement pas de renverser la présomption établie. En particulier, le recourant ne répond pas à l'argumentation de l'instance précédente qui a exposé pour quelles raisons il ne pouvait prétendre que la nouvelle au sujet de l'existence de sa fille au printemps 2011 était un événement extraordinaire au sens de la jurisprudence. L'instance pré cédente pouvait à bon droit considérer que la relation extraconjugale entretenue avec C._________ en 2009 - période durant laquelle le couple rencontrait des difficultés -, puis à nouveau en début d'année 2011 - peu après l'obtention de la naturalisation facilitée -, confirmaient que l'union entre les ex-époux ne présentait pas la stabilité requise au moment déterminant et qu'il est peu plausible que le recourant n'ait découvert la dégradation de son couple qu'après l'obtention de la naturalisation facilitée. Si le recourant se prévaut d'efforts entrepris pour surmonter les difficultés conjugales en 2009, preuve selon lui que l'union était effective, il ne prétend pas qu'il aurait entrepris des mesures concrètes en ce sens après l'octroi de la naturalisation facilitée; il a au contraire rapidement renoué avec son ancienne maîtresse pour lui donner un second enfant.</w:t>
      </w:r>
    </w:p>
    <w:p>
      <w:r>
        <w:t>Le fait que le recourant est bien intégré en Suisse et que ses enfants y vivent n'est pas pertinent pour l'examen de la question de savoir s'il y a eu obtention frauduleuse de la naturalisation au sens de l'art. 41 aLN.</w:t>
      </w:r>
    </w:p>
    <w:p>
      <w:r>
        <w:rPr>
          <w:b/>
        </w:rPr>
        <w:t>E. 3.4</w:t>
      </w:r>
    </w:p>
    <w:p>
      <w:r>
        <w:t>En définitive, les éléments avancés par le recourant ne suffisent pas à renverser la présomption établie. Il en découle que les conditions d'application de l'art. 41 aLN sont réunies et le Tribunal administratif fédéral n'a pas violé le droit fédéral en confirmant l'annulation de sa naturalisation facilitée.</w:t>
      </w:r>
    </w:p>
    <w:p>
      <w:r>
        <w:rPr>
          <w:b/>
        </w:rPr>
        <w:t>E. 4</w:t>
      </w:r>
    </w:p>
    <w:p>
      <w:r>
        <w:t>Le recourant soutient également qu'il est disproportionné de lui retirer la nationalité suisse qu'il a acquise par la voie de la naturalisation facilitée, puisqu'il aurait déjà pu l'acquérir par celle de la naturalisation ordinaire. Sa critique est vaine. En effet, le fait que l'intéressé puisse solliciter la naturalisation ordinaire n'empêche pas le retrait de la naturalisation facilitée. La naturalisation ordinaire et la naturalisation facilitée se distinguent non seulement dans leurs conditions d'octroi, mais aussi quant à la procédure applicable et aux autorités compétentes (arrêts 1C_270/2018 du 6 novembre 2018 consid. 4 et 1C_292/2010 du 5 août 2010 consid. 5.2).</w:t>
      </w:r>
    </w:p>
    <w:p>
      <w:r>
        <w:rPr>
          <w:b/>
        </w:rPr>
        <w:t>E. 5</w:t>
      </w:r>
    </w:p>
    <w:p>
      <w:r>
        <w:t>Enfin, le recourant se prévaut en vain du fait qu'il a dû renoncer à sa nationalité guinéenne. Comme l'a retenu le Tribunal administratif fédéral, le risque que le recourant devienne apatride ne fait pas obstacle à l'annulation de la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(cf. ATF 140 II 65 consid. 4.2.1 p. 72 s.; arrêts 1C_98/2019 du 3 mai 2019 consid. 4; 1C_214/2015 du 6 novembre 2015 consid. 2.2.4).</w:t>
      </w:r>
    </w:p>
    <w:p>
      <w:r>
        <w:rPr>
          <w:b/>
        </w:rPr>
        <w:t>E. 6</w:t>
      </w:r>
    </w:p>
    <w:p>
      <w:r>
        <w:t>Il résulte de ce qui précède que le recours doit être rejeté. Dans la mesure où le recours paraissait d'emblée voué à l'échec, l'assistance judiciaire ne peut être accordée pour la procédure devant le Tribunal fédéral ( art. 64 al. 1 et 2 LTF ). A titre exceptionnel, il est renoncé à percevoir des frais judiciaires pour tenir compte de la situation financière du recourant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