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1C_658/2015 vom 20. Juni 2016</w:t>
      </w:r>
    </w:p>
    <w:p>
      <w:r>
        <w:t>Bundesgericht, 2016-06-20, DE</w:t>
      </w:r>
    </w:p>
    <w:p>
      <w:r>
        <w:rPr>
          <w:b/>
        </w:rPr>
        <w:t xml:space="preserve">Quelle: </w:t>
      </w:r>
      <w:r>
        <w:t>https://mcp.opencaselaw.ch/entscheid/bger_1C_658_2015</w:t>
      </w:r>
    </w:p>
    <w:p>
      <w:r>
        <w:t>FR: TF 1C_658/2015 du 20 juin 2016</w:t>
      </w:r>
    </w:p>
    <w:p>
      <w:r>
        <w:t>IT: TF 1C_658/2015 del 20 giugno 2016</w:t>
      </w:r>
    </w:p>
    <w:p>
      <w:pPr>
        <w:pStyle w:val="Heading2"/>
      </w:pPr>
      <w:r>
        <w:t>Erwägungen</w:t>
      </w:r>
    </w:p>
    <w:p>
      <w:r>
        <w:rPr>
          <w:b/>
        </w:rPr>
        <w:t>E. 1</w:t>
      </w:r>
    </w:p>
    <w:p>
      <w:r>
        <w:t>Das Bundesgericht entscheidet (bei Einstimmigkeit) in Dreierbesetzung und im vereinfachten Verfahren über die Abweisung offensichtlich unbegründeter Beschwerden ( Art. 109 Abs. 2 lit. a BGG ). Der Entscheid wird summarisch begründet; dabei kann ganz oder teilweise auf den angefochtenen Entscheid verwiesen werden ( Art. 109 Abs. 3 BGG ).</w:t>
      </w:r>
    </w:p>
    <w:p>
      <w:r>
        <w:rPr>
          <w:b/>
        </w:rPr>
        <w:t>E. 2</w:t>
      </w:r>
    </w:p>
    <w:p>
      <w:r>
        <w:t>Motorfahrzeugführer müssen über Fahreignung und Fahrkompetenz verfügen ( Art. 14 Abs. 1 SVG ). Über keine Fahreignung verfügt (insbesondere), wer nach seinem bisherigen Verhalten keine Gewähr bietet, als Motorfahrzeugführer die Vorschriften zu beachten und auf die Mitmenschen Rücksicht zu nehmen ( Art. 14 Abs. 2 lit. d SVG ). Wer wegen Alkohol-, Betäubungsmittel- oder Arzneimitteleinfluss oder aus anderen Gründen nicht über die erforderliche körperliche und geistige Leistungsfähigkeit verfügt, gilt während dieser Zeit als fahrunfähig und darf kein Fahrzeug führen ( Art. 31 Abs. 2 SVG ). Befindet sich ein Fahrzeugführer in einem Zustand, der die sichere Führung des Fahrzeugs ausschliesst, so verhindert die Polizei die Weiterfahrt und nimmt den Führerausweis ab ( Art. 54 Abs. 3 SVG ). Von der Polizei abgenommene Ausweise sind sofort der Entzugsbehörde zu übermitteln; diese entscheidet unverzüglich über den Entzug. Bis zu ihrem Entscheid hat die Abnahme eines Ausweises durch die Polizei die Wirkung des Entzugs ( Art. 54 Abs. 5 SVG ).</w:t>
      </w:r>
    </w:p>
    <w:p>
      <w:r>
        <w:t>Führerausweise sind mangels Fahreignung auf unbestimmte Zeit zu entziehen (sog. Sicherungsentzug), wenn der Lenker aufgrund seines bisherigen Verhaltens keine Gewähr bietet, dass er künftig beim Führen eines Motorfahrzeuges die Vorschriften beachten und auf die Mitmenschen Rücksicht nehmen wird ( Art. 16d Abs. 1 lit. c SVG ). Bestehen Zweifel an der Fahreignung einer Person, so wird diese einer Fahreignungsuntersuchung unterzogen, namentlich bei Verkehrsregelverletzungen, die auf Rücksichtslosigkeit des Lenkers schliessen lassen ( Art. 15d Abs. 1 lit. c SVG ). Gemäss Art. 90 Abs. 3 SVG (in Kraft seit 1. Januar 2013)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In Art. 90 Abs. 4 SVG wird aufgelistet, welche Geschwindigkeitsübertretungen in jedem Fall nach Absatz 3 geahndet werden. Wird die zulässige Höchstgeschwindigkeit von 80 km/h um mindestens 60 km/h überschritten, liegt eine qualifiziert grobe Verkehrsregelverletzung im Sinne von Absatz 3 vor ( Art. 90 Abs. 4 lit. c SVG ; s. BGE 140 IV 133 E. 3.2 S. 136; 139 IV 250 E. 2.3.1 S. 253).</w:t>
      </w:r>
    </w:p>
    <w:p>
      <w:r>
        <w:t>Der Führerausweis kann (bereits vor dem Abschluss eines Administrativverfahrens betreffend Sicherungsentzug) vorsorglich entzogen werden, wenn ernsthafte Zweifel an der Fahreignung bestehen ( Art. 30 VZV [SR 741.51]).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Der strikte Beweis für eine den Sicherungsentzug rechtfertigende fehlende Fahreignung ist im Verfahren des vorsorglichen Sicherungsentzuges noch nicht erforderlich ( BGE 125 II 492 E. 2b S. 495 f.; 122 II 359 E. 3a S. 364; 107 Ib 395 E. 2a S. 398; je mit Hinweisen; Urteile 1C_111/2015 vom 21. Mai 2015 E. 4.7; 1C_497/2014 vom 10. Februar 2015 E. 3.1.3; 1C_331/2014 vom 28. August 2014 E. 4.2-4.3; 1C_35/2014 vom 28. März 2014 E. 5.2; 1C_574/2013 vom 22. Oktober 2013 E. 2.2). Weder steht die strafprozessuale Unschuldsvermutung dem administrativmassnahmenrechtlichen vorsorglichen Sicherungsentzug entgegen, noch muss der Abschluss des hängigen separaten Strafverfahrens abgewartet werden, bevor verwaltungsrechtliche Sicherheitsmassnahmen zur vorläufigen Abwehr massiver Gefahren im Strassenverkehr ergriffen werden können ( BGE 122 II 359 E. 2b-c S. 363 f.).</w:t>
      </w:r>
    </w:p>
    <w:p>
      <w:r>
        <w:t>Ausreichende Anhaltspunkte für eine möglicherweise fehlende Fahreignung aus charakterlichen oder psychisch-gesundheitlichen Gründen, die einen provisorischen Entzug (jedenfalls bis zum Vorliegen einer verkehrspsychologischen Abklärung) rechtfertigen, können sich insbesondere aus extremen Geschwindigkeitsübertretungen (sogenannten "Raserdelikten") ergeben oder aus anderem qualifiziert rücksichtslosem und hochgefährlichem Verhalten im Strassenverkehr (vgl. Art. 90 Abs. 3-4 i.V.m. Art. 15d Abs. 1 lit. c SVG ; s.a. BGE 125 II 492 E. 3 S. 496 f.). Auch eine erstmalige massive Geschwindigkeitsüberschreitung kann unter besonderen Umständen Zweifel an der Fahreignung erwecken, welche die Anordnung eines vorsorglichen Sicherungsentzugs und einer verkehrspsychologischen Abklärung rechtfertigen (Urteile des Bundesgerichtes 1C_604/2012 vom 17. Mai 2013 E. 6.1-6.2; 1C_420/2007 vom 18. März 2008 E. 3.3; 2A.162/1996 vom 12. Juli 1996 E. 2b).</w:t>
      </w:r>
    </w:p>
    <w:p>
      <w:r>
        <w:rPr>
          <w:b/>
        </w:rPr>
        <w:t>E. 3</w:t>
      </w:r>
    </w:p>
    <w:p>
      <w:r>
        <w:t>Gemäss den willkürfreien verbindlichen Feststellungen der Vorinstanz (vgl. Art. 42 Abs. 2 Satz 1 i.V.m. Art. 97 Abs. 1 und Art. 105 Abs. 1 BGG ) hat der Beschwerdeführer am 27. September 2014 die signalisierte Höchstgeschwindigkeit von 80 km/h (ausserorts) um mindestens 72 km/h (nach Abzug einer Sicherheitsmarge von 5 km/h wegen allfälligen Messunschärfen) überschritten, mithin um fast das Doppelte. Hinzu kommt, dass er nachts auf einer nicht richtungsgetrennten Strasse zwischen Näfels und Netstal unterwegs war, was ein besonders rücksichtsloses und hochgefährliches Fahrverhalten darstellt. Die Vorinstanz erwägt mit Recht, dass der Beschwerdeführer die Sicherheit anderer Verkehrsteilnehmer in einer Weise gefährdet hat, die ernsthafte Zweifel an seiner Fahreignung weckt. Nach der dargelegten Gesetzgebung und Praxis erweist sich der vorsorgliche Sicherungsentzug des Führerausweises als bundesrechtskonform. Daran ändert auch das Vorbringen des Beschwerdeführers nichts, das am 25. November 2015 gegen ihn erlassene erstinstanzliche Strafurteil sei noch nicht rechtskräftig. Auch die Rüge der Verletzung der strafprozessualen Unschuldsvermutung ist offensichtlich unbegründet.</w:t>
      </w:r>
    </w:p>
    <w:p>
      <w:r>
        <w:t>Zwar wendet sich der Beschwerdeführer auch noch gegen die Abweisung seines Gesuches um unentgeltliche Prozessführung und gegen die Auferlegung der vorinstanzlichen Gerichtsgebühr. Was er vorbringt, lässt den Kostenentscheid jedoch nicht als bundesrechtswidrig erscheinen. Er bestreitet nicht, dass er seine angebliche Mittellosigkeit nicht belegt hat; insbesondere hat er im Verfahren vor der Vorinstanz weder einen Betreibungsregisterauszug noch eine Steuererklärung eingereicht.</w:t>
      </w:r>
    </w:p>
    <w:p>
      <w:r>
        <w:t>Soweit der Beschwerdeführer darüber hinaus Rechtsbegehren stellt und Rügen erhebt, die gar nicht Gegenstand des angefochtenen Administrativmassnahmenentscheides bilden (strafprozessuales "Beweismittelverwertungsverbot" betreffend die polizeiliche Einvernahme vom 27. September 2014, Strafurteil vom 25. November 2015 usw.), ist auf die Beschwerde nicht einzutreten.</w:t>
      </w:r>
    </w:p>
    <w:p>
      <w:r>
        <w:rPr>
          <w:b/>
        </w:rPr>
        <w:t>E. 4</w:t>
      </w:r>
    </w:p>
    <w:p>
      <w:r>
        <w:t>Die Beschwerde ist abzuweisen, soweit darauf einzutreten ist.</w:t>
      </w:r>
    </w:p>
    <w:p>
      <w:r>
        <w:t>Zwar stellt der Beschwerdeführer ein Gesuch um unentgeltliche Prozessführung. Da sich seine Beschwerde als zum Vornherein aussichtslos erweist, ist das Gesuch jedoch abzuweisen ( Art. 64 Abs. 1 BGG ). Die Gerichtskosten sind ihm aufzuerlegen ( Art. 66 Abs. 1 BGG ).</w:t>
      </w:r>
    </w:p>
    <w:p>
      <w:r>
        <w:t>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