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1C_657/2022 vom 3. Januar 2023</w:t>
      </w:r>
    </w:p>
    <w:p>
      <w:r>
        <w:t>Bundesgericht, 2023-01-03, DE</w:t>
      </w:r>
    </w:p>
    <w:p>
      <w:r>
        <w:rPr>
          <w:b/>
        </w:rPr>
        <w:t xml:space="preserve">Quelle: </w:t>
      </w:r>
      <w:r>
        <w:t>https://mcp.opencaselaw.ch/entscheid/bger_1C_657_2022</w:t>
      </w:r>
    </w:p>
    <w:p>
      <w:r>
        <w:t>FR: TF 1C_657/2022 du 3 janvier 2023</w:t>
      </w:r>
    </w:p>
    <w:p>
      <w:r>
        <w:t>IT: TF 1C_657/2022 del 3 gennaio 2023</w:t>
      </w:r>
    </w:p>
    <w:p>
      <w:pPr>
        <w:pStyle w:val="Heading2"/>
      </w:pPr>
      <w:r>
        <w:t>Erwägungen</w:t>
      </w:r>
    </w:p>
    <w:p>
      <w:r>
        <w:rPr>
          <w:b/>
        </w:rPr>
        <w:t>E. 1</w:t>
      </w:r>
    </w:p>
    <w:p>
      <w:r>
        <w:t>Das Strassenverkehrsamt des Kantons Zürich entzog A.________ mit Verfügung vom 11. April 2022 den Führerausweis auf unbestimmte Zeit. Es machte die Wiedererteilung vom Vorliegen eines günstig lautenden verkehrsmedizinischen Gutachtens eines Arztes oder einer Ärztin der Anerkennungsstufe 4 abhängig und hielt fest, dass mit dem Erlass dieser Hauptverfügung der bestehende vorsorgliche Führerausweisentzug vom 7. Januar 2022 ersetzt werde. Einen von A.________ gegen diese Verfügung erhobenen Rekurs wies die Sicherheitsdirektion des Kantons Zürich mit Entscheid vom 19. Juli 2022 ab. Dagegen erhob A.________ am 12. August 2022 Beschwerde, welche das Verwaltungsgericht des Kantons Zürich mit Urteil vom 5. Dezember 2022 abwies, soweit es darauf eintrat. Zur Begründung führte es zusammenfassend aus, das schlüssige verkehrsmedizinische Gutachten vom 16. März 2022 befürworte die Fahreignung der Beschwerdeführerin im jetzigen Zeitpunkt nicht. Es sei deshalb nicht zu beanstanden, dass das Strassenverkehrsamt gestützt auf das Gutachten die Fahreignung der Beschwerdeführerin verneint habe.</w:t>
      </w:r>
    </w:p>
    <w:p>
      <w:r>
        <w:rPr>
          <w:b/>
        </w:rPr>
        <w:t>E. 2</w:t>
      </w:r>
    </w:p>
    <w:p>
      <w:r>
        <w:t>A.________ führt mit Eingabe vom 20. Dezember 2022 Beschwerde in öffentlich-rechtlichen Angelegenheiten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Hinsichtlich der Verletzung von Grundrechten gilt der in Art. 106 Abs. 1 BGG verankerte Grundsatz der Rechtsanwendung von Amtes wegen nicht; insofern besteht eine qualifizierte Rügepflicht ( Art. 106 Abs. 2 BGG ; BGE 136 I 49 E. 1.4.1, 65 E. 1.3.1 mit Hinweisen). Es obliegt der Beschwerdeführerin namentlich darzulegen, inwiefern der angefochtene Entscheid gegen Grundrechte verstossen soll.</w:t>
      </w:r>
    </w:p>
    <w:p>
      <w:r>
        <w:t>Die Beschwerdeführerin setzt sich mit der Begründung des Verwaltungsgerichts, die zur Abweisung ihrer Beschwerde führte, nicht rechtsgenüglich auseinander. Aus ihren Ausführungen ergibt sich nicht im Einzelnen und konkret, inwiefern die Begründung des Verwaltungsgerichts bzw. dessen Urteil selbst rechts- bzw. verfassungswidrig sein soll.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