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1C_657/2017 vom 30. Oktober 2018</w:t>
      </w:r>
    </w:p>
    <w:p>
      <w:r>
        <w:t>Bundesgericht, 2018-10-30, DE</w:t>
      </w:r>
    </w:p>
    <w:p>
      <w:r>
        <w:rPr>
          <w:b/>
        </w:rPr>
        <w:t xml:space="preserve">Quelle: </w:t>
      </w:r>
      <w:r>
        <w:t>https://mcp.opencaselaw.ch/entscheid/bger_1C_657_2017</w:t>
      </w:r>
    </w:p>
    <w:p>
      <w:r>
        <w:t>FR: TF 1C_657/2017 du 30 octobre 2018</w:t>
      </w:r>
    </w:p>
    <w:p>
      <w:r>
        <w:t>IT: TF 1C_657/2017 del 30 ottobre 2018</w:t>
      </w:r>
    </w:p>
    <w:p>
      <w:pPr>
        <w:pStyle w:val="Heading2"/>
      </w:pPr>
      <w:r>
        <w:t>Erwägungen</w:t>
      </w:r>
    </w:p>
    <w:p>
      <w:r>
        <w:rPr>
          <w:b/>
        </w:rPr>
        <w:t>E. 1</w:t>
      </w:r>
    </w:p>
    <w:p>
      <w:r>
        <w:t>Das Bundesgericht prüft von Amtes wegen und mit freier Kognition, ob und inwieweit auf ein Rechtsmittel eingetreten werden kann ( Art. 29 Abs. 1 BGG ; BGE 136 II 436 E. 1 S. 438).</w:t>
      </w:r>
    </w:p>
    <w:p>
      <w:r>
        <w:rPr>
          <w:b/>
        </w:rPr>
        <w:t>E. 1.1</w:t>
      </w:r>
    </w:p>
    <w:p>
      <w:r>
        <w:t>Angefochten ist ein selbständig eröffneter, kantonal letztinstanzlicher Zwischenentscheid. Gegen solche ist die Beschwerde zulässig, wenn sie die Zuständigkeit oder Ausstandsbegehren betreffen ( Art. 92 Abs. 1 BGG ). Abgesehen von vorliegend nicht interessierenden Ausnahmen (vgl. Art. 93 Abs. 2 BGG ) können sie darüber hinaus gemäss Art. 93 Abs. 1 BGG nur mit Beschwerde angefochten werden, wenn der Entscheid einen nicht wieder gutzumachenden Nachteil bewirken kann (lit. a), oder wenn die Gutheissung der Beschwerde sofort einen Endentscheid herbeiführen und damit einen bedeutenden Aufwand an Zeit und Kosten für ein weitläufiges Beweisverfahren ersparen würde (lit. b). Ein Nachteil in diesem Sinne ist rechtlicher Natur und auch mit einem für die Beschwerde führende Partei günstigen Endentscheid nicht oder nicht vollständig behebbar ( BGE 140 V 321 E. 3.6 S. 326 mit Hinweisen). Die Einschränkung der Anfechtbarkeit von Zwischenentscheiden bezweckt, dass sich das Bundesgericht möglichst nur einmal mit der gleichen Sache zu befassen hat ( BGE 134 IV 43 E. 2.1 S. 45 mit Hinweisen). Das Bundesgericht verzichtet allerdings bei Beschwerden wegen formeller Rechtsverweigerung grundsätzlich auf das Erfordernis eines nicht wieder gutzumachenden Nachteils im Sinne von Art. 93 Abs. 1 lit. a BGG ( BGE 138 IV 258 E. 1.1 S. 261).</w:t>
      </w:r>
    </w:p>
    <w:p>
      <w:r>
        <w:rPr>
          <w:b/>
        </w:rPr>
        <w:t>E. 1.2</w:t>
      </w:r>
    </w:p>
    <w:p>
      <w:r>
        <w:t>Soweit die Beschwerde sich gegen die Abweisung des Ausstandsbegehrens richtet, ist sie ohne Weiteres zulässig. Entgegen der Auffassung der Vorinstanz beschränkt sich der Streitgegenstand jedoch nicht ausschliesslich auf die Frage der Voreingenommenheit. So beantragten die Beschwerdeführer vor dieser die Aufhebung des gesamten Entscheids des DIV und damit auch der Feststellung bezüglich der Holzwand und der Anweisung an die Flurkommission über die Prüfung der Begehren. Folglich fochten sie die betreffenden Punkte mit an und die Vorinstanz hätte diese materiell behandeln müssen und nicht nur im Sinne eines obiter dictums darauf eingehen dürfen. Für die Zulässigkeit der Beschwerde an das Bundesgericht lässt sich daraus jedoch nichts ableiten. Eine formelle Rechtsverweigerung stellt das Vorgehen der Vorinstanz nicht dar, da die Vorinstanz zu den fraglichen Punkten Stellung genommen hat. Zudem ist der angefochtene Entscheid auch insoweit ein Zwischenentscheid und nicht etwa ein selbständig anfechtbarer Teilentscheid im Sinne von Art. 91 lit. a BGG . Weshalb die Beschwerde dagegen ausnahmsweise zulässig sein sollte, ist weder ersichtlich noch dargetan. Der Entscheid des DIV betrifft zwar die Zuständigkeiten, trifft jedoch nur allgemeine Anordnungen. Die Flurkommission hat sich mit Blick auf die konkret zu beurteilenden Fragen noch gar nicht zu ihrer Zuständigkeit geäussert und demzufolge auch keinen Sachentscheid gefällt. Aus diesen Gründen handelt es sich nicht um einen Zwischenentscheid über die Zuständigkeit im Sinne von Art. 92 Abs. 1 BGG (vgl. BGE 138 III 558 E. 1.3 S. 559 mit Hinweis).</w:t>
      </w:r>
    </w:p>
    <w:p>
      <w:r>
        <w:t>Über die Ausstandsfrage hinaus kann der angefochtene Entscheid ferner keine Nachteile im Sinne von Art. 93 Abs. 1 lit. a BGG bewirken und von der Gutheissung der Beschwerde dagegen hängt auch nicht die Durchführung eines weitläufigen Beweisverfahrens ab. In diesen Punkten ist die Beschwerde folglich nicht zulässig und auf sie nicht einzutreten. Die betreffenden Ausführungen haben unbeachtet zu bleiben. Der angefochtene Zwischenentscheid kann diesbezüglich jedoch trotz des vorliegenden Nichteintretens mit Beschwerde gegen den Endentscheid angefochten werden, soweit er sich auf dessen Inhalt auswirkt (vgl. Art. 93 Abs. 3 BGG ; Urteil 4A_79/2014 vom 15. Oktober 2014 E. 2.4.2). Durch die eingeschränkte Anfechtbarkeit des Zwischenentscheids entgeht den Beschwerdeführern kein Rechtsschutz.</w:t>
      </w:r>
    </w:p>
    <w:p>
      <w:r>
        <w:rPr>
          <w:b/>
        </w:rPr>
        <w:t>E. 1.3</w:t>
      </w:r>
    </w:p>
    <w:p>
      <w:r>
        <w:t>Nach dem Grundsatz der Einheit des Verfahrens sind Zwischenentscheide mit dem in der Hauptsache zulässigen Rechtsmittel anzufechten ( BGE 134 V 138 E. 3 S. 144 mit Hinweisen). Dem angefochtenen Entscheid liegt eine Streitigkeit zwischen den Eigentümern von zwei benachbarten Liegenschaften betreffend einen Holzzaun und weitere Bauten und Pflanzungen entlang der Grundstücksgrenze zugrunde. Soweit ersichtlich berufen sich die Parteien nicht auf die nachbarrechtlichen Bestimmungen des ZGB und auch die involvierten Behörden ziehen deren Anwendung nicht in Betracht. Daher handelt es sich um eine Angelegenheit des öffentlichen Rechts. Der angefochtene Entscheid fällt unter keinen Ausschlussgrund nach Art. 83 BGG und die Beschwerdeführer sind gemäss Art. 89 Abs. 1 BGG zur Beschwerde befugt. Sie berufen sich auf Verletzungen von Bundesrecht (Art. 8 f., 29 und 30 Abs. 1 BV) und Völkerrecht ( Art. 6 Ziff. 1 EMRK ), was mit der Beschwerde in öfffentlich-rechtlichen Angelegenheiten gerügt werden kann ( Art. 95 Abs. 1 lit. a BGG ). Hinsichtlich der Verletzung von Grundrechten, insbesondere des Willkürverbots, gilt allerdings eine qualifizierte Rügepflicht ( Art. 106 Abs. 2 BGG ; vgl. BGE 138 I 274 E. 1.6 S. 280 f. mit Hinweisen). Auf appellatorische (allein das bereits Vorgebrachte wiederholende) Kritik am angefochtenen Urteil tritt das Bundesgericht nicht ein ( BGE 141 IV 369 E. 6.3 S. 375 mit Hinweisen). Soweit die Beschwerde diesen Anforderungen und den übrigen Sachurteilsvoraussetzungen, namentlich der Begründungspflicht gemäss Art. 42 Abs. 2 BGG genügt, ist folglich auf diese einzutreten. Da sich die Beschwerde gemäss Art. 82 ff. BGG als zulässig erweist, ist das Rechtsmittel entgegen dessen Bezeichnung als Verfassungsbeschwerde als Beschwerde in öffentlich-rechtlichen Angelegenheiten entgegen zu nehmen (vgl. Art. 113 BGG ).</w:t>
      </w:r>
    </w:p>
    <w:p>
      <w:r>
        <w:rPr>
          <w:b/>
        </w:rPr>
        <w:t>E. 2.1</w:t>
      </w:r>
    </w:p>
    <w:p>
      <w:r>
        <w:t>Die Beschwerdeführer rügen, die Vorinstanz habe den Sachverhalt willkürlich festgestellt und dadurch gleichzeitig ihren Anspruch auf rechtliches Gehör verletzt. Aufgrund der Fehler in der Sachverhaltsfeststellung sei diese auf bestimmte Rügen nicht eingegangen. Infolge dessen würden wiederum diejenigen Gemeinderatsmitglieder über die Sache entscheiden, die das baurechtliche Verfahren einseitig gegen sie geführt hätten.</w:t>
      </w:r>
    </w:p>
    <w:p>
      <w:r>
        <w:rPr>
          <w:b/>
        </w:rPr>
        <w:t>E. 2.2</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S. 234 mit Hinweisen). Die Feststellung des Sachverhalts kann nur gerügt werden, wenn sie in diesem Sinne qualifiziert fehlerhaft ist und wenn die Behebung des Mangels für den Ausgang des Verfahrens entscheidend sein kann ( Art. 97 BGG ).</w:t>
      </w:r>
    </w:p>
    <w:p>
      <w:r>
        <w:t>Die aus dem Anspruch auf rechtliches Gehör ( Art. 29 Abs. 2 BV )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142 II 49 E. 9.2 S. 65 ; 134 I 83 E. 4.1 S. 88 ; 133 I 270 E. 3.1 S. 277; je mit Hinweisen).</w:t>
      </w:r>
    </w:p>
    <w:p>
      <w:r>
        <w:rPr>
          <w:b/>
        </w:rPr>
        <w:t>E. 2.3</w:t>
      </w:r>
    </w:p>
    <w:p>
      <w:r>
        <w:t>Soweit die Sachverhalts- und Gehörsverletzungsrügen der Beschwerdeführer den Ausstand betreffen und die qualifizierten Rügeanforderungen überhaupt erfüllen, sind sie unbegründet. Die Vorinstanz hat die in dieser Hinsicht relevanten tatsächlichen Feststellungen im angefochtenen Entscheid mit genügender Bestimmtheit und zutreffend dargestellt. Der Entscheid entspricht auch den dargelegten Erfordernissen an die Begründungspflicht. Die Vorinstanz hat sich mit den wesentlichen Einwänden der Beschwerdeführer in hinreichender Weise auseinandergesetzt, sodass sie in der Lage waren, diesen sachgerecht anzufechten.</w:t>
      </w:r>
    </w:p>
    <w:p>
      <w:r>
        <w:rPr>
          <w:b/>
        </w:rPr>
        <w:t>E. 3.1</w:t>
      </w:r>
    </w:p>
    <w:p>
      <w:r>
        <w:t>Die Beschwerdeführer bringen vor, der Ausgang des Verfahrens vor der Flurkommission sei nicht mehr offen. Mehrere Umstände würden den Anschein erwecken, diese sei ihnen gegenüber befangen. Indem der vorinstanzliche Entscheid das Vorliegen von Ausstandsgründen verneine, verletze er Art. 29 und 30 Abs. 1 BV und Art. 6 Ziff. 1 EMRK .</w:t>
      </w:r>
    </w:p>
    <w:p>
      <w:r>
        <w:rPr>
          <w:b/>
        </w:rPr>
        <w:t>E. 3.2</w:t>
      </w:r>
    </w:p>
    <w:p>
      <w:r>
        <w:t>Nach Art. 30 Abs. 1 BV und Art. 6 Ziff. 1 EMRK hat jede Person Anspruch darauf, dass ihre Sache von einem durch Gesetz geschaffenen, zuständigen, unabhängigen und unparteiischen Gericht ohne Einwirken sachfremder Umstände entschieden wird. Es muss gewährleistet sein, dass der Prozess aus Sicht aller Beteiligten als offen erscheint. Eine gewisse Besorgnis der Voreingenommenheit und damit Misstrauen in das Gericht kann bei den Parteien immer dann entstehen, wenn einzelne Gerichtspersonen in einem früheren Verfahren mit der konkreten Streitsache schon einmal befasst waren (vgl. zum Ganzen BGE 140 I 326 E. 5.1 S. 328 f. mit Hinweisen). Nach ständiger Rechtsprechung stellt der Umstand, dass ein Gericht schon einmal in gleicher Besetzung über die Streitsache entschieden hat, über die es nach Rückweisung der Sache durch die Rechtsmittelinstanz wiederum urteilen muss, grundsätzlich keinen Befangenheitsgrund dar ( BGE 143 IV 69 E. 3.1 S. 74 mit Hinweisen). Ein Ausstandsgrund besteht nur unter besonderen Umständen, namentlich wenn aufgrund des früheren Verhaltens oder von Äusserungen eines Richters davon ausgegangen werden muss, dass er nicht in der Lage sein werde, seine ursprüngliche Auffassung zu revidieren ( BGE 138 IV 142 E. 2.3 S. 146; Urteil 1C_593/2015 vom 25. Mai 2016 E. 2.3). Dabei begründen fehlerhafte Verfügungen und Verfahrenshandlungen für sich keinen Anschein der Voreingenommenheit. Anders verhält es sich, wenn besonders krasse oder wiederholte Irrtümer vorliegen, die eine schwere Verletzung der Amtspflichten darstellen ( BGE 143 IV 69 E. 3.2 S. 74 f.).</w:t>
      </w:r>
    </w:p>
    <w:p>
      <w:r>
        <w:t>Auf nichtgerichtliche Behörden - wie hier die Mitglieder des Gemeinderates und der Flurkommission - kommen Art. 30 Abs. 1 BV und Art. 6 Ziff. 1 EMRK nicht zur Anwendung. Hingegen gewährleistet Art. 29 Abs. 1 BV den Anspruch auf gleiche und gerechte Behandlung; das Gebot der Unbefangenheit bildet einen Teilgehalt dieses Grundrechts. Im Kern der Garantie der Unbefangenheit steht für Richter wie Verwaltungsbeamte, dass sie sich in Bezug auf die Beurteilung des Sachverhalts nicht bereits festgelegt haben. Die für Gerichte geltenden Anforderungen an die Unbefangenheit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politischer Aufgaben einhergeht.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(vgl. BGE 140 I 326 E. 5.2 S. 329 f. mit Hinweisen; Urteil 1C_477/2016 vom 16. August 2017 E. 3.1).</w:t>
      </w:r>
    </w:p>
    <w:p>
      <w:r>
        <w:rPr>
          <w:b/>
        </w:rPr>
        <w:t>E. 3.3</w:t>
      </w:r>
    </w:p>
    <w:p>
      <w:r>
        <w:t>Gemäss § 1 FlGG bestellt die Politische Gemeinde eine Flurkommission, als welche der Gemeinderat amtet, sofern er seine Befugnisse nicht einer besonderen Flurkommission überträgt, welche aus einem Präsidenten oder einer Präsidentin, mindestens zwei weiteren Mitgliedern sowie zwei Ersatzmitgliedern zu bestehen hat. Art. 43 der Gemeindeordnung der Politischen Gemeinde Weinfelden vom 10. Mai 2000 bestimmt, dass der Gemeinderat eine selbständig entscheidende Flurkommission wählt, die aus fünf Mitgliedern besteht. Die kommunale entspricht also der kantonalen Regelung. Wenn - wie vorliegend - unklar ist, in den Zuständigkeitsbereich welcher dieser zwei Behörden eine Sache fällt, sind Mehrfachbefassungen somit ohne Weiteres systembedingt.</w:t>
      </w:r>
    </w:p>
    <w:p>
      <w:r>
        <w:t>Die vorliegende Konstellation ist mit einem Rückweisungsentscheid vergleichbar. So entscheidet eine Behörde, die schon einmal in ähnlicher Besetzung über eine Streitsache entschieden hat, wiederum über dieselbe Angelegenheit. Ob es aufgrund einer Wiedererwägung oder einer oberinstanzlichen Anordnung zu dieser Situation kommt, ändert daran nichts Wesentliches. Ebenso wenig von Bedeutung ist die Ursache für die Wiedererwägung. Massgebend ist demnach, ob besondere Umstände darauf schliessen lassen, die Personen, welche vorliegend die Flurkommission besetzen, seien nicht in der Lage, ihre Meinung zu ändern.</w:t>
      </w:r>
    </w:p>
    <w:p>
      <w:r>
        <w:t>Die Ausführungen der Beschwerdeführer zur Begründung ihres Ausstandsbegehrens erschöpfen sich zu grossen Teilen in appellatorischer Kritik am angefochtenen Entscheid. Gründe, die für eine unumstössliche Festlegung der betreffenden Personen sprechen, bringen sie nicht vor bzw. substantiieren diese nicht rechtsgenügend. So machen sie etwa geltend, die Baubehörde habe während zwei Monaten per E-Mail mit den Stockwerkeigentümern korrespondiert, ohne sie davon in Kenntnis zu setzen. Die Beschwerdeführer belegen ihr Vorbringen jedoch weder mit Urkunden noch machen sie irgendwelche weiteren Angaben hierzu. Damit erfüllen sie die Begründungsanforderungen nicht (vgl. Art. 42 Abs. 2 und 3 BGG ).</w:t>
      </w:r>
    </w:p>
    <w:p>
      <w:r>
        <w:t>Konkrete Anzeichen dafür, dass die Mitglieder der Flurkommission sich bereits unumstösslich festgelegt haben, sind auch nicht ersichtlich. Das DBU führt in seinem sich bei den Akten befindenden Abschreibungsentscheid zwar aus, der Gemeinderat habe sich in der Abweisung des Baugesuchs für die Holzwand der Beschwerdeführer ausschliesslich auf Flurrecht gestützt. Selbst wenn die Behörde dadurch einen Verfahrensfehler beging, ist dieser aber jedenfalls nicht derart schwer, dass er für sich einen Anschein der Voreingenommenheit begründen würde. Aus dem Umstand kann auch nicht abgeleitet werden, die mitwirkenden Personen hätten sich in flurrechtlicher Hinsicht schon festgelegt. So geht es in dem Verfahren vor der Flurkommission soweit ersichtlich um sämtliche Anlagen und Pflanzungen entlang der Grundstücksgrenze und nicht nur um die Holzwand, deren baurechtliche Zulässigkeit vom Gemeinderat zu beurteilen ist.</w:t>
      </w:r>
    </w:p>
    <w:p>
      <w:r>
        <w:rPr>
          <w:b/>
        </w:rPr>
        <w:t>E. 3.4</w:t>
      </w:r>
    </w:p>
    <w:p>
      <w:r>
        <w:t>Zusammenfassend bestehen keine Umstände, welche die Mitglieder der Flurkommission als befangen erscheinen lassen. Das Ausstandsbegehren erweist sich als unbegründet.</w:t>
      </w:r>
    </w:p>
    <w:p>
      <w:r>
        <w:rPr>
          <w:b/>
        </w:rPr>
        <w:t>E. 4</w:t>
      </w:r>
    </w:p>
    <w:p>
      <w:r>
        <w:t>Nach dem Gesagten ist die Beschwerde abzuweisen, soweit darauf eingetreten werden kann. Bei diesem Ausgang des Verfahrens sind die Gerichtskosten den Beschwerdeführern unter solidarischer Haftung aufzuerlegen (vgl. Art. 66 Abs. 1 und 5 BGG ). Parteientschädigungen sind keine zuzusprechen (vgl. Art. 68 Abs. 1, 2, 3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