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1C_655/2022 vom 23. Februar 2024</w:t>
      </w:r>
    </w:p>
    <w:p>
      <w:r>
        <w:t>Bundesgericht, 2024-02-23, FR</w:t>
      </w:r>
    </w:p>
    <w:p>
      <w:r>
        <w:rPr>
          <w:b/>
        </w:rPr>
        <w:t xml:space="preserve">Quelle: </w:t>
      </w:r>
      <w:r>
        <w:t>https://mcp.opencaselaw.ch/entscheid/bger_1C_655_2022</w:t>
      </w:r>
    </w:p>
    <w:p>
      <w:r>
        <w:t>FR: TF 1C_655/2022 du 23 février 2024</w:t>
      </w:r>
    </w:p>
    <w:p>
      <w:r>
        <w:t>IT: TF 1C_655/2022 del 23 febbraio 2024</w:t>
      </w:r>
    </w:p>
    <w:p>
      <w:pPr>
        <w:pStyle w:val="Heading2"/>
      </w:pPr>
      <w:r>
        <w:t>Erwägungen</w:t>
      </w:r>
    </w:p>
    <w:p>
      <w:r>
        <w:rPr>
          <w:b/>
        </w:rPr>
        <w:t>E. 1</w:t>
      </w:r>
    </w:p>
    <w:p>
      <w:r>
        <w:t>Le recours, qui porte sur le refus du permis de construire requis, est dirigé contre une décision finale ( art. 90 LTF ) prise en dernière instance cantonale ( art. 86 al. 1 let . d LTF) dans le domaine du droit public de l'aménagement du territoire et des constructions ( art. 82 let. a LTF ). Il est en principe recevable comme recours en matière de droit public selon les art. 82 ss LTF , aucune des exceptions prévues à l' art. 83 LTF n'étant réalisée.</w:t>
      </w:r>
    </w:p>
    <w:p>
      <w:r>
        <w:t>Les recourants ont pris part à la procédure de recours devant le Tribunal cantonal. En tant que propriétaires du bien-fonds pour lequel le permis de construire a été refusé, ils sont particulièrement touchés par l'arrêt attaqué et ont un intérêt digne de protection à l'annulation ou la modification de celui-ci. La qualité pour agir doit dès lors leur être reconnue au sens de l' art. 89 al. 1 LTF .</w:t>
      </w:r>
    </w:p>
    <w:p>
      <w:r>
        <w:t>Les autres conditions de recevabilité du recours en matière de droit public sont au surplus réunies, de sorte qu'il convient d'entrer en matière.</w:t>
      </w:r>
    </w:p>
    <w:p>
      <w:r>
        <w:rPr>
          <w:b/>
        </w:rPr>
        <w:t>E. 2</w:t>
      </w:r>
    </w:p>
    <w:p>
      <w:r>
        <w:t>) et sur une partie de l'actuelle parcelle n° 500. Il n'est pas contesté que, suite à cette autorisation de défricher, des arbres ont été abattus dans les années nonante sur la parcelle n° 3590 et ses alentours. Cependant, au vu de la jurisprudence précitée (cf. consid. 2.1), il ne suffit pas de procéder à l'abattage des arbres pour supprimer la nature forestière du sol. Celui-ci conserve sa qualité de forêt jusqu'à ce qu'il soit effectivement affecté à une autre utilisation. Or, comme constaté par l'instance précédente, les ouvrages qui devaient prendre place sur la surface forestière en question, conformément à l'autorisation préalable d'implantation de 1989, n'ont été que partiellement réalisés, en l'occurrence sur sa partie ouest notamment pour l'édification du bâtiment Reverdil 8-10 (parcelle n° 3589). En revanche, sur la partie est, les travaux destinés à la construction de l'ouvrage prévu sur la parcelle litigieuse n° 3590 (bâtiment 500 B1, B2 et B3, selon l'autorisation préalable d'implantation de 1989) n'ont jamais été menés et la surface forestière a été laissée en surface végétale après l'abattage d'arbres. La cour cantonale a en particulier constaté, lors de l'inspection locale, que la surface boisée litigieuse comportait d'anciennes souches qui n'avaient pas été arrachées et qu'aucun terrassement n'était intervenu. La question de savoir si les recourants avaient procédé dans les années nonante à un abattage total des arbres, comme ils le soutiennent, ou seulement partiel, n'apparaît pas déterminant. Comme mentionné ci-dessus, l'élimination du boisement ne modifie pas, à elle seule, l'affectation du sol forestier.</w:t>
      </w:r>
    </w:p>
    <w:p>
      <w:r>
        <w:t>Certes, une grande partie du complexe immobilier a été réalisée, il n'en demeure pas moins que le sol forestier sur la parcelle n° 3590 n'a à ce jour pas été affecté à un autre usage et qu'il reste dès lors soumis à la législation forestière. Les recourants ne peuvent être suivis lorsqu'il affirme que l'ouvrage pour lequel l'autorisation de défrichement a été délivrée était l'ensemble des six bâtiments. En effet, seuls les constructions situées au nord de ce complexe immobilier devaient être érigées sur le sol forestier. De plus, comme relevé par la cour cantonale, si les six immeubles sont certes destinés à former un ensemble cohérent, ils ne sont pas interdépendants. Quoi qu'en pensent les recourants, la réalisation des cinq premiers immeubles, tous organisés autour d'un espace commun, n'impose nullement celle du sixième, prévu en retrait, du côté du quartier de la Combe, au nord-est. Les constructeurs ont d'ailleurs attendu plus de 25 ans, depuis l'octroi de l'autorisation de défrichement le 21 décembre 1990, avant de déposer en 2017 une demande de permis de construire pour le sixième et dernier immeuble.</w:t>
      </w:r>
    </w:p>
    <w:p>
      <w:r>
        <w:rPr>
          <w:b/>
        </w:rPr>
        <w:t>E. 2.1</w:t>
      </w:r>
    </w:p>
    <w:p>
      <w:r>
        <w:t>Le principe de la conservation de la forêt est ancré aux art. 1 et 3 de la loi fédérale sur les forêts du 4 octobre 1991 (LFo; RS 921.0; cf. également art. 77 Cst. ). Au vu de ce principe, les défrichements - par quoi on entend tout changement durable ou temporaire de l'affectation du sol forestier ( art. 4 LFo ) - sont interdit par l' art. 5 LFo . A titre exceptionnel, une autorisation de défricher peut être accordée à certaines conditions (cf. art. 5 al. 2 à 4 LFo). Ces conditions correspondent dans une large mesure à celles développées sous l'ancien droit, abrogé le 1er janvier 1993 par la LFo (cf. arrêt 1A.33/1992 du 21 juillet 1994 consid. 4a). L'autorisation de défricher doit être limitée dans le temps ( art. 5 al. 5 LFo ). Le sens d'une telle limitation est de permettre aux autorités de réexaminer l'autorisation à la fin du délai et de l'adapter éventuellement aux circonstances nouvelles ( ATF 119 Ib 397 consid. 5c; 112 Ib 133 consid. 1).</w:t>
      </w:r>
    </w:p>
    <w:p>
      <w:r>
        <w:t>Selon la jurisprudence, l'aire forestière ne peut être diminuée que par des défrichements licites, c'est-à-dire des changements d'affectation du sol forestier intervenus sur la base d'une autorisation de défrichement entrée en force et dans le délai fixé conformément à l' art. 5 al. 5 LFo (cf. arrêt 1C_645/2018 du 21 novembre 2019 consid. 6.2 et les réf. cit, in DEP 2020 p. 161; PETER KELLER, in Abt/Norer/Wild/Wisard [édit.], Commentaire de la loi sur les forêts LFo, Zurich/Genève, 2022, n. 11 ad art. 4 LFo ). Si l'autorisation de défricher est accordée pour la réalisation d'un ouvrage déterminé, le changement d'affectation du sol forestier n'est achevé que lorsque les mesures de construction pour l'édification de l'ouvrage ont été prises. A lui seul, l'élimination du boisement ne suffit alors pas à changer la nature forestière du sol (cf. arrêts 1C_645/2018 précité consid. 6.2; 1A.42/1993 et 1A.244/1994 du 14 mars 1994 consid. 5c, in: ZBI 96/1995 p. 42; cf. KELLER, op. cit., n. 9 ad art. 4 LFo ).</w:t>
      </w:r>
    </w:p>
    <w:p>
      <w:r>
        <w:rPr>
          <w:b/>
        </w:rPr>
        <w:t>E. 2.2</w:t>
      </w:r>
    </w:p>
    <w:p>
      <w:r>
        <w:t>Les recourants font grief à la CDAP d'avoir considéré que l'autorisation de défrichement délivrée le 21 décembre 1990 n'avait pas été utilisée avant son échéance du 31 décembre 1995. Selon les recourants, l'autorisation de défrichement avait été accordée pour la construction de l'ensemble des six immeubles; dès lors, dans la mesure où cinq de ces immeubles avaient été construits, ladite autorisation de défricher avait été utilisée en temps utile. Les recourants précisent que le défrichement de la parcelle n° 3590 et de l'essentiel de la parcelle de base n° 500 avait été effectuée dans les cinq ans de validité de l'autorisation de défrichement, comme cela ressortirait du guichet cartographique de la Confédération de 1990 et 1995. Par conséquent la parcelle n° 3590 ne serait plus soumise à la législation forestière, selon les recourants.</w:t>
      </w:r>
    </w:p>
    <w:p>
      <w:r>
        <w:rPr>
          <w:b/>
        </w:rPr>
        <w:t>E. 2.3</w:t>
      </w:r>
    </w:p>
    <w:p>
      <w:r>
        <w:t>L'argumentation des recourants ne convainc pas. L'autorisation de défrichement a certes été délivrée en décembre 1990 en vue de réaliser le complexe immobilier dans le quartier Haute-Combe. La forêt en question, identifiée par le Conseil d'État le 15 juin 1990, est située au nord du quartier le long du chemin de Crève-coeur, notamment sur la parcelle n° 3590 (sur 1'000 m</w:t>
      </w:r>
    </w:p>
    <w:p>
      <w:r>
        <w:rPr>
          <w:b/>
        </w:rPr>
        <w:t>E. 2.4</w:t>
      </w:r>
    </w:p>
    <w:p>
      <w:r>
        <w:t>Dans ces conditions, la cour cantonale pouvait à juste titre considérer que les bénéficiaires de l'autorisation de défrichement délivrée le 21 décembre 1990 n'en avaient pas fait usage sur la parcelle n° 3590 avant son échéance le 31 décembre 1995 et que le sol forestier, tel que constaté par la décision du Conseil d'Etat du 15 juin 1990 sur la parcelle n° 3590, n'avait pas changé d'affectation. Le grief des recourants doit donc être rejeté.</w:t>
      </w:r>
    </w:p>
    <w:p>
      <w:r>
        <w:rPr>
          <w:b/>
        </w:rPr>
        <w:t>E. 3</w:t>
      </w:r>
    </w:p>
    <w:p>
      <w:r>
        <w:t>Au vu de ce qui précède, le recours est rejeté aux frais des recourants qui succombent ( art. 66 al. 1 LTF ), sans qu'il soit nécessaire d'examiner les autres points examinés par la CDAP concernant l'autorisation de construire. Les recourants verseront en outre des dépens aux intimés, qui obtiennent gain de cause avec l'assistance d'un avocat ( art. 68 al. 2 et 4 LTF ). La Commune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