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654/2019 vom 6. Oktober 2020</w:t>
      </w:r>
    </w:p>
    <w:p>
      <w:r>
        <w:t>Bundesgericht, 2020-10-06, FR</w:t>
      </w:r>
    </w:p>
    <w:p>
      <w:r>
        <w:rPr>
          <w:b/>
        </w:rPr>
        <w:t xml:space="preserve">Quelle: </w:t>
      </w:r>
      <w:r>
        <w:t>https://mcp.opencaselaw.ch/entscheid/bger_1C_654_2019</w:t>
      </w:r>
    </w:p>
    <w:p>
      <w:r>
        <w:t>FR: TF 1C 654/2019 du 6 octobre 2020</w:t>
      </w:r>
    </w:p>
    <w:p>
      <w:r>
        <w:t>IT: TF 1C 654/2019 del 6 ottobre 2020</w:t>
      </w:r>
    </w:p>
    <w:p>
      <w:pPr>
        <w:pStyle w:val="Heading2"/>
      </w:pPr>
      <w:r>
        <w:t>Regeste</w:t>
      </w:r>
    </w:p>
    <w:p>
      <w:r>
        <w:t>Avertissement | Construction des routes et circulation routière</w:t>
      </w:r>
    </w:p>
    <w:p>
      <w:pPr>
        <w:pStyle w:val="Heading2"/>
      </w:pPr>
      <w:r>
        <w:t>Erwägungen</w:t>
      </w:r>
    </w:p>
    <w:p>
      <w:r>
        <w:rPr>
          <w:b/>
        </w:rPr>
        <w:t>E. 1</w:t>
      </w:r>
    </w:p>
    <w:p>
      <w:r>
        <w:t>La voie du recours en matière de droit public, au sens des art. 82 ss LTF , est ouverte contre une décision de dernière instance cantonale ( art. 86 al. 1 let . d LTF) au sujet d'une mesure administrative relative au permis de conduire ( art. 82 let. a LTF ). Déposé en temps utile ( art. 100 al. 1 LTF ) par le destinataire de l'arrêt attaqué, qui a un intérêt digne de protection à l'annulation de celui-ci ( art. 89 al. 1 LTF ), le présent recours est en principe recevable.</w:t>
      </w:r>
    </w:p>
    <w:p>
      <w:r>
        <w:rPr>
          <w:b/>
        </w:rPr>
        <w:t>E. 2</w:t>
      </w:r>
    </w:p>
    <w:p>
      <w:r>
        <w:t>Le recourant se plaint d'une constatation manifestement inexacte des faits ( art. 97 al. 1 LTF ) et reproche à l'autorité précédente de ne pas avoir pris en considération le fait qu'il se trouvait en Belgique au moment de l'infraction du 9 septembre 2017. Ce faisant, il reproche au Tribunal cantonal de ne pas s'être écarté du jugement pénal vu les preuves produites dans la procédure administrative. Il fait aussi valoir une violation de l' art. 16a al. 3 LCR .</w:t>
      </w:r>
    </w:p>
    <w:p>
      <w:r>
        <w:rPr>
          <w:b/>
        </w:rPr>
        <w:t>E. 2.1</w:t>
      </w:r>
    </w:p>
    <w:p>
      <w:r>
        <w:t>L'autorité administrative statuant sur un retrait du permis de conduire ne peut en principe pas s'écarter des constatations de fait d'un jugement pénal entré en force. La sécurité du droit commande en effet d'éviter que l'indépendance du juge pénal et du juge administratif ne conduise à des jugements opposés, rendus sur la base des mêmes faits.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139 II 95 consid. 3.2 p. 101). 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 ATF 123 II 97 consid. 3c/aa p. 104; voir aussi arrêts 1C_403/2020 du 20 juillet 2020 consid. 3 et 1C_470/2019 du 31 janvier 2020 consid. 5.1.2).</w:t>
      </w:r>
    </w:p>
    <w:p>
      <w:r>
        <w:rPr>
          <w:b/>
        </w:rPr>
        <w:t>E. 2.2</w:t>
      </w:r>
    </w:p>
    <w:p>
      <w:r>
        <w:t>Selon l'état de fait non contesté de l'arrêt attaqué, le recourant a été condamné, par ordonnance pénale du 13 mars 2018, à une amende de 545 fr. pour violation simple des règles de la circulation routière pour avoir circulé, le 9 septembre 2017, à une vitesse de 116 km/h sur un tronçon limité à 80 km/h. Le recourant n'a pas formé opposition à l'ordonnance pénale qui est entrée en force. Il s'est ensuite acquitté du montant de l'amende à laquelle il avait été condamné. Il a ainsi démontré se soumettre entièrement à l'ordonnance pénale puisqu'il n'a ni allégué que les faits retenus à son encontre n'étaient pas conformes à la réalité, ni formé opposition pour ce motif. Le recourant n'a pas, pour des raisons qui lui sont imputables, contesté la condamnation pénale, alors que rien ne l'empêchait de faire valoir ses griefs en épuisant au besoin les voies de recours à disposition dans la procédure pénale. Les faits qui y sont constatés lient dès lors l'autorité administrative. Les faits dont le recourant entend maintenant se prévaloir dans le cadre de la procédure administrative, lui étaient connus lors de la procédure pénale puisqu'il prétend avoir été absent de Suisse au moment de l'infraction reprochée. Dès lors, il ne saurait invoquer que des constatations de fait inconnues du juge pénal n'ont pas été prises en considération ou que les faits auraient été établis au mépris des règles essentielles de procédure ou encore qu'il existe des preuves nouvelles dont l'appréciation conduit à un autre résultat. Selon les règles de la bonne foi, il lui appartenait en effet de faire valoir ces constatations de fait dans le volet pénal, au stade de l'instruction, puis en épuisant, le cas échéant, toutes les voies de droit à sa disposition. Cela ressort d'ailleurs de l' ATF 123 II 97 que cite le recourant et dont il ne peut rien tirer d'autre. S'ajoute à cela que le recourant n'a pas répondu à plusieurs interpellations, tant de la gendarmerie fribourgeoise que vaudoise, lui demandant de retourner le formulaire avec l'identité du conducteur. Il n'a ainsi jamais fourni le nom du conducteur. Dans ces circonstances, le Tribunal cantonal n'a pas violé le droit fédéral en se fondant sur les faits retenus par la Préfecture du district du Lac du canton de Fribourg. Il n'existait en effet aucun motif qui aurait pu justifier de s'écarter de l'appréciation de l'autorité pénale selon laquelle le recourant a commis une violation simple des règles de la circulation routière. Le Tribunal cantonal pouvait ainsi réfuter les moyens de défense (en particulier la facture de location de voiture à l'aéroport de Bruxelles, le billet d'avion, les extraits de carte de crédit, les témoins et les photos) que le recourant a fait valoir pour la première fois en procédure administrative alors qu'il disposait de tous les éléments pour le faire lors de la procédure pénale. Cela est d'autant plus vrai que, comme l'a souligné l'autorité précédente, le recourant avait déjà commis une précédente infraction à la LCR, le          10 février 2017, pour laquelle il avait été sanctionné le 27 avril 2017 par une interdiction de conduire en Suisse durant un mois. Il ne pouvait donc ignorer qu'une procédure administrative allait être ouverte à son encontre et qu'il ne pouvait attendre la procédure administrative pour produire les moyens de preuve en sa possession et exposer ses arguments, à savoir qu'il se serait trouvé en Belgique au moment des faits reprochés. En tant qu'il remet en cause la présence du recourant en Suisse le 9 septembre 2017, le recours est ainsi mal fondé.</w:t>
      </w:r>
    </w:p>
    <w:p>
      <w:r>
        <w:rPr>
          <w:b/>
        </w:rPr>
        <w:t>E. 3</w:t>
      </w:r>
    </w:p>
    <w:p>
      <w:r>
        <w:t>Le recourant se prévaut enfin sommairement d'une violation de l'interdiction du formalisme excessif ( art. 29 al. 1 Cst. ), au motif que le Tribunal cantonal a appliqué schématiquement la jurisprudence établie aux arrêts précités (voir consid. 2.1) en refusant de traiter la question du lieu où il se trouvait le 9 septembre 2017. Ce grief doit être d'emblée écarté. Une stricte application de la jurisprudence précitée, constante et bien établie, est en effet justifiée par des motifs d'égalité de traitement et par un intérêt public lié à une bonne administration de la justice et à la sécurité du droit (cf. ATF 125 V 65 consid. 1 p. 66; arrêt 1C_365/2019 du 5 novembre 2019 consid. 2.2). Cela est d'autant plus vrai en l'espèce que le jugement pénal, non contesté, est entré en force et a été exécuté.</w:t>
      </w:r>
    </w:p>
    <w:p>
      <w:r>
        <w:rPr>
          <w:b/>
        </w:rPr>
        <w:t>E. 4</w:t>
      </w:r>
    </w:p>
    <w:p>
      <w:r>
        <w:t>Il s'ensuit que le recours est rejeté, aux frais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