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1C_654/2012 vom 20. Dezember 2012</w:t>
      </w:r>
    </w:p>
    <w:p>
      <w:r>
        <w:t>Bundesgericht, 2012-12-20, DE</w:t>
      </w:r>
    </w:p>
    <w:p>
      <w:r>
        <w:rPr>
          <w:b/>
        </w:rPr>
        <w:t xml:space="preserve">Quelle: </w:t>
      </w:r>
      <w:r>
        <w:t>https://mcp.opencaselaw.ch/entscheid/bger_1C_654_2012</w:t>
      </w:r>
    </w:p>
    <w:p>
      <w:r>
        <w:t>FR: TF 1C_654/2012 du 20 décembre 2012</w:t>
      </w:r>
    </w:p>
    <w:p>
      <w:r>
        <w:t>IT: TF 1C_654/2012 del 20 dicembre 2012</w:t>
      </w:r>
    </w:p>
    <w:p>
      <w:pPr>
        <w:pStyle w:val="Heading2"/>
      </w:pPr>
      <w:r>
        <w:t>Erwägungen</w:t>
      </w:r>
    </w:p>
    <w:p>
      <w:r>
        <w:rPr>
          <w:b/>
        </w:rPr>
        <w:t>E. 1</w:t>
      </w:r>
    </w:p>
    <w:p>
      <w:r>
        <w:t>Gemäss Art. 93 Abs. 2 BGG sind auf dem Gebiet der internationalen Rechtshilfe in Strafsachen Vor- und Zwischenentscheide nicht anfechtbar. Vorbehalten bleiben Beschwerden gegen Entscheide unter anderem über die Beschlagnahme von Vermögenswerten, sofern die Voraussetzungen von Art. 93 Abs. 1 BGG erfüllt sind.</w:t>
      </w:r>
    </w:p>
    <w:p>
      <w:r>
        <w:t>Die Beschwerdeführer äussern sich nicht näher zu den Voraussetzungen von Art. 93 Abs. 1 BGG . Dazu wären sie aber verpflichtet gewesen ( BGE 137 III 324 E. 1.1 S. 328 f. mit Hinweisen). Ob bereits deshalb auf die Beschwerde nicht eingetreten werden kann, kann dahingestellt bleiben. Sie ist jedenfalls aus folgendem Grund unzulässig.</w:t>
      </w:r>
    </w:p>
    <w:p>
      <w:r>
        <w:t>Auch bei einem Zwischenentscheid ist die Beschwerde nur zulässig, wenn ein besonders bedeutender Fall nach Art. 84 BGG gegeben ist ( BGE 136 IV 20 E. 1.2 S. 22 mit Hinweisen). Die Beschwerdeführer bringen nichts vor, was es rechtfertigen könnte, den vorliegenden Fall als besonders bedeutend einzustufen. Die Vorinstanz hat die Aufhebung der Kontosperre gestützt auf die bundesgerichtliche Rechtsprechung abgelehnt. Ihre Erwägungen, auf die verwiesen werden kann ( Art. 109 Abs. 3 BGG ), sind nicht zu beanstanden (angefochtener Entscheid S. 9 ff. E. 4). Der Fall ist nicht von aussergewöhnlicher Tragweite. Für das Bundesgericht besteht deshalb kein Anlass, die Sache an die Hand zu nehmen.</w:t>
      </w:r>
    </w:p>
    <w:p>
      <w:r>
        <w:rPr>
          <w:b/>
        </w:rPr>
        <w:t>E. 2</w:t>
      </w:r>
    </w:p>
    <w:p>
      <w:r>
        <w:t>Bei diesem Ausgang des Verfahrens tragen die Beschwerdeführer die Kosten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