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1C_652/2020 vom 4. Dezember 2020</w:t>
      </w:r>
    </w:p>
    <w:p>
      <w:r>
        <w:t>Bundesgericht, 2020-12-04, DE</w:t>
      </w:r>
    </w:p>
    <w:p>
      <w:r>
        <w:rPr>
          <w:b/>
        </w:rPr>
        <w:t xml:space="preserve">Quelle: </w:t>
      </w:r>
      <w:r>
        <w:t>https://mcp.opencaselaw.ch/entscheid/bger_1C_652_2020</w:t>
      </w:r>
    </w:p>
    <w:p>
      <w:r>
        <w:t>FR: TF 1C_652/2020 du 4 décembre 2020</w:t>
      </w:r>
    </w:p>
    <w:p>
      <w:r>
        <w:t>IT: TF 1C_652/2020 del 4 dicembre 2020</w:t>
      </w:r>
    </w:p>
    <w:p>
      <w:pPr>
        <w:pStyle w:val="Heading2"/>
      </w:pPr>
      <w:r>
        <w:t>Erwägungen</w:t>
      </w:r>
    </w:p>
    <w:p>
      <w:r>
        <w:rPr>
          <w:b/>
        </w:rPr>
        <w:t>E. 1</w:t>
      </w:r>
    </w:p>
    <w:p>
      <w:r>
        <w:t>Am 4. Februar 2020 lehnte das Strassenverkehrs- und Schifffahrtsamt des Kantons St. Gallen das Gesuch von A.________ um Wiedererteilung des Führerausweises ab. Diese Verfügung wurde vom Verwaltungsgericht des Kantons St. Gallen kantonal letztinstanzlich geschützt.</w:t>
      </w:r>
    </w:p>
    <w:p>
      <w:r>
        <w:rPr>
          <w:b/>
        </w:rPr>
        <w:t>E. 2</w:t>
      </w:r>
    </w:p>
    <w:p>
      <w:r>
        <w:t>Mit Eingabe vom 25. November 2020 erhebt A.________ Beschwerde gegen diesen verwaltungsgerichtlichen Entscheid.</w:t>
      </w:r>
    </w:p>
    <w:p>
      <w:r>
        <w:t>Vernehmlassungen wurden keine eingeholt.</w:t>
      </w:r>
    </w:p>
    <w:p>
      <w:r>
        <w:rPr>
          <w:b/>
        </w:rPr>
        <w:t>E. 3</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begründet seine Beschwerde nicht. Die unkommentierte Einreichung von verschiedenen Gutachten stellt klarerweise keine den gesetzlichen Anforderungen entsprechende Begründung dar. 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