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1C_651/2020 vom 20. März 2024</w:t>
      </w:r>
    </w:p>
    <w:p>
      <w:r>
        <w:t>Bundesgericht, 2024-03-20, DE</w:t>
      </w:r>
    </w:p>
    <w:p>
      <w:r>
        <w:rPr>
          <w:b/>
        </w:rPr>
        <w:t xml:space="preserve">Quelle: </w:t>
      </w:r>
      <w:r>
        <w:t>https://mcp.opencaselaw.ch/entscheid/bger_1C_651_2020</w:t>
      </w:r>
    </w:p>
    <w:p>
      <w:r>
        <w:t>FR: TF 1C_651/2020 du 20 mars 2024</w:t>
      </w:r>
    </w:p>
    <w:p>
      <w:r>
        <w:t>IT: TF 1C_651/2020 del 20 marzo 2024</w:t>
      </w:r>
    </w:p>
    <w:p>
      <w:pPr>
        <w:pStyle w:val="Heading2"/>
      </w:pPr>
      <w:r>
        <w:t>Erwägungen</w:t>
      </w:r>
    </w:p>
    <w:p>
      <w:r>
        <w:rPr>
          <w:b/>
        </w:rPr>
        <w:t>E. 1</w:t>
      </w:r>
    </w:p>
    <w:p>
      <w:r>
        <w:t>Mit Urteil 1C_277/2023 vom 12. März 2024 hat das Bundesgericht festgestellt, dass das vom Beschwerdeführer gegen den Verweis der KJS geführte Verfahren in den Bereich fällt, welcher nach Art. 83 lit. g BGG von der Beschwerde in öffentlich-rechtlichen Angelegenheiten ausgenommen ist, womit zu prüfen sei, ob die Voraussetzungen für die Erhebung der subsidiären Verfassungsbeschwerde ( Art. 113 ff. BGG ) erfüllt sind (a.a.O., E. 1). Im gleichen Urteil ist das Bundesgericht zum Schluss gekommen, dass für den Beschwerdeführer an der Überprüfung des von der KJS am 8. Oktober 2020 ausgesprochenen Verweises kein aktuelles praktisches Rechtsschutzinteresse im Sinne von Art. 115 lit. b BGG mehr besteht, nachdem er als Kantonsrichter per Ende 2020 zurückgetreten ist (a.a.O., E. 2). Sofern die weiteren Sachurteilsvoraussetzungen überhaupt erfüllt wären, ist das vorliegende Verfahren während der Hängigkeit des Verfahrens gegenstandslos geworden. Damit ist die Beschwerde im Verfahren nach Art. 32 Abs. 2 BGG als gegenstandslos geworden abzuschreiben.</w:t>
      </w:r>
    </w:p>
    <w:p>
      <w:r>
        <w:rPr>
          <w:b/>
        </w:rPr>
        <w:t>E. 2.1</w:t>
      </w:r>
    </w:p>
    <w:p>
      <w:r>
        <w:t>Bei Gegenstandslosigkeit des Verfahrens entscheidet der Einzelrichter mit summarischer Begründung über die Prozesskosten aufgrund der Sachlage vor Eintritt des Erledigungsgrunds ( Art. 71 BGG i.V.m. Art. 72 BZP ). In erster Linie ist somit auf den mutmasslichen Ausgang des Prozesses abzustellen. Lässt sich der mutmassliche Ausgang eines Verfahrens im konkreten Fall nicht ohne Weiteres feststellen, ist nach der Rechtsprechung des Bundesgerichts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(Urteil 1C_159/2022 vom 2. November 2023 E. 6.1).</w:t>
      </w:r>
    </w:p>
    <w:p>
      <w:r>
        <w:rPr>
          <w:b/>
        </w:rPr>
        <w:t>E. 2.2</w:t>
      </w:r>
    </w:p>
    <w:p>
      <w:r>
        <w:t>Bei summarischer Prüfung ergibt sich, dass auf die vorliegende Beschwerde mangels Ausschöpfung des kantonalen Instanzenzugs mutmasslich nicht hätte eingetreten werden können. Damit würde der Beschwerdeführer an sich kostenpflichtig. Allerdings ist umständehalber von der Erhebung von Gerichtskosten abzusehen. Eine Parteientschädigung ist nach dem Ausgeführten nicht anzuordnen.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