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1C_64/2020 vom 19. Februar 2020</w:t>
      </w:r>
    </w:p>
    <w:p>
      <w:r>
        <w:t>Bundesgericht, 2020-02-19, DE</w:t>
      </w:r>
    </w:p>
    <w:p>
      <w:r>
        <w:rPr>
          <w:b/>
        </w:rPr>
        <w:t xml:space="preserve">Quelle: </w:t>
      </w:r>
      <w:r>
        <w:t>https://mcp.opencaselaw.ch/entscheid/bger_1C_64_2020</w:t>
      </w:r>
    </w:p>
    <w:p>
      <w:r>
        <w:t>FR: TF 1C_64/2020 du 19 février 2020</w:t>
      </w:r>
    </w:p>
    <w:p>
      <w:r>
        <w:t>IT: TF 1C_64/2020 del 19 febbraio 2020</w:t>
      </w:r>
    </w:p>
    <w:p>
      <w:pPr>
        <w:pStyle w:val="Heading2"/>
      </w:pPr>
      <w:r>
        <w:t>Erwägungen</w:t>
      </w:r>
    </w:p>
    <w:p>
      <w:r>
        <w:rPr>
          <w:b/>
        </w:rPr>
        <w:t>E. 1</w:t>
      </w:r>
    </w:p>
    <w:p>
      <w:r>
        <w:t>Am 15. Januar 2019 entzog das Strassenverkehrs- und Schifffahrtsamt des Kantons St. Gallen A.________ den Führerausweis vorsorglich. Am 17. April 2019 entzog es ihm den Ausweis für unbestimmte Zeit, mindestens aber für zwei Jahre, und machte die Wiedererteilung vom Nachweis der Fahreignung durch eine verkehrspsychologische Begutachtung abhängig. Den von A.________ dagegen erhobenen Rekurs wies die Verwaltungsrekurskommission am 26. September 2019 ab. Dieser Entscheid wurde vom Verwaltungsgericht des Kantons St. Gallen am 16. Dezember 2019 geschützt.</w:t>
      </w:r>
    </w:p>
    <w:p>
      <w:r>
        <w:t>Mit Beschwerde vom 2. Februar 2020 beantragt A.________ sinngemäss, dieses Urteil des Verwaltungsgerichts aufzuheben.</w:t>
      </w:r>
    </w:p>
    <w:p>
      <w:r>
        <w:t>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setzt sich mit dem angefochtenen Entscheid nicht auseinander und legt nicht dar, inwiefern dieser Bundesrecht verletzt. Das ist auch nicht ersichtlich. Auf die Beschwerde ist wegen Verletzung der gesetzlichen Begründungspflicht nicht einzutreten. Auf die Erhebung von Kosten kann ausnahmsweise verzichtet werden, womit das Gesuch um unentgeltliche Rechtspflege hinfällig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