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1C_64/2014 vom 15. Juli 2014</w:t>
      </w:r>
    </w:p>
    <w:p>
      <w:r>
        <w:t>Bundesgericht, 2014-07-15, FR</w:t>
      </w:r>
    </w:p>
    <w:p>
      <w:r>
        <w:rPr>
          <w:b/>
        </w:rPr>
        <w:t xml:space="preserve">Quelle: </w:t>
      </w:r>
      <w:r>
        <w:t>https://mcp.opencaselaw.ch/entscheid/bger_1C_64_2014</w:t>
      </w:r>
    </w:p>
    <w:p>
      <w:r>
        <w:t>FR: TF 1C_64/2014 du 15 juillet 2014</w:t>
      </w:r>
    </w:p>
    <w:p>
      <w:r>
        <w:t>IT: TF 1C_64/2014 del 15 luglio 2014</w:t>
      </w:r>
    </w:p>
    <w:p>
      <w:pPr>
        <w:pStyle w:val="Heading2"/>
      </w:pPr>
      <w:r>
        <w:t>Erwägungen</w:t>
      </w:r>
    </w:p>
    <w:p>
      <w:r>
        <w:rPr>
          <w:b/>
        </w:rPr>
        <w:t>E. 1</w:t>
      </w:r>
    </w:p>
    <w:p>
      <w:r>
        <w:t>Le recours est dirigé contre une décision finale de dernière instance cantonale rendue en droit public de l'aménagement du territoire et des constructions. Il est recevable au regard des art. 82 let. a et 86 al. 1 let . d LTF, et a été formé dans le délai fixé à l' art. 100 al. 1 LTF .</w:t>
      </w:r>
    </w:p>
    <w:p>
      <w:r>
        <w:rPr>
          <w:b/>
        </w:rPr>
        <w:t>E. 1.1</w:t>
      </w:r>
    </w:p>
    <w:p>
      <w:r>
        <w:t>Helvetia Nostra a participé à la procédure devant l'instance précédente ( art. 89 al. 1 LTF ). Indépendamment de sa qualité pour agir sur le fond à l'encontre d'un plan de quartier, elle a qualité pour se plaindre d'un déni de justice formel.</w:t>
      </w:r>
    </w:p>
    <w:p>
      <w:r>
        <w:rPr>
          <w:b/>
        </w:rPr>
        <w:t>E. 1.2</w:t>
      </w:r>
    </w:p>
    <w:p>
      <w:r>
        <w:t>Conformément à l' art. 42 al. 5 LTF , l'avocat des recourants a été invité à produire les procurations des époux A.________ jusqu'au 11 juin 2014, faute de quoi le mémoire ne serait pas pris en considération. Les procurations n'ont été remises au Tribunal fédéral que le 18 juin 2014, soit tardivement. Cela entraîne l'irrecevabilité du recours, en tant qu'il est formé par AA.________ et BA.________.</w:t>
      </w:r>
    </w:p>
    <w:p>
      <w:r>
        <w:rPr>
          <w:b/>
        </w:rPr>
        <w:t>E. 2</w:t>
      </w:r>
    </w:p>
    <w:p>
      <w:r>
        <w:t>La recourante reproche à la cour cantonale un formalisme excessif, respectivement une appréciation arbitraire des faits et un déni de justice. Elle relève qu'à tous les stades de la procédure, elle a formé recours tant contre la décision relative au plan de quartier que contre l'autorisation de construire. Le mémoire du 27 mars 2013 exprimait clairement la volonté de recourir contre les deux décisions du Conseil d'Etat rendues le même jour.</w:t>
      </w:r>
    </w:p>
    <w:p>
      <w:r>
        <w:rPr>
          <w:b/>
        </w:rPr>
        <w:t>E. 2.1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(arrêt 4P.228/2003 du 19 janvier 2003, consid. 3.3.1; ATF 114 Ia 34 consid. 3 et les références). Le Tribunal fédéral examine librement si l'on se trouve en présence d'un formalisme excessif ( ATF 128 II 139 consid. 2a p. 142; 127 I 31 consid. 2a/bb p. 34; 125 I 166 consid. 3a p. 170, et les arrêts cités).</w:t>
      </w:r>
    </w:p>
    <w:p>
      <w:r>
        <w:rPr>
          <w:b/>
        </w:rPr>
        <w:t>E. 2.2</w:t>
      </w:r>
    </w:p>
    <w:p>
      <w:r>
        <w:t>Les décisions rendues successivement par le Conseil communal sont toutes deux intitulées "décision en matière de construction". Celle du 23 octobre 2012 porte, sous la rubrique "Projet", la mention "Plan de quartier", alors que celle 18 décembre 2012 porte, sous la même rubrique, la mention "chalets". Les recourants ont formé deux recours distincts contre ces décisions. Le premier, par acte du 21 décembre 2012. Le second, par lettre du 25 janvier 2013 dans laquelle le conseil des recourants produisait une copie de son premier recours "pour valoir à l'encontre de la décision du 21 décembre 2012". Le Conseil d'Etat a lui aussi rendu deux décisions distinctes le 20 février 2013. La date et l'objet des deux décisions communales y sont clairement indiqués.</w:t>
      </w:r>
    </w:p>
    <w:p>
      <w:r>
        <w:t>Selon son intitulé, le recours au Tribunal cantonal était dirigé contre "</w:t>
      </w:r>
    </w:p>
    <w:p>
      <w:r>
        <w:t>la décision rendue le 20 février 2013 par le Conseil d'Etat du canton du Valais concernant la création d'un plan de quartier, d'une route d'accès et la construction de 8 chalets sur la parcelle n° 11...". Cet intitulé paraît se rapporter tant à l'adoption du plan de quartier qu'à l'autorisation de construire. Toutefois, les recourants, qui connaissaient dès le début l'existence de deux décisions distinctes ont néanmoins clairement indiqué qu'ils recouraient contre une - et non deux - décision du Conseil d'Etat. En annexe au recours, ils ont produit</w:t>
      </w:r>
    </w:p>
    <w:p>
      <w:r>
        <w:t>la décision attaquée, soit celle relative au plan de quartier adopté le 23 octobre 2012. Dans ces circonstances, la cour cantonale, interprétant de bonne foi l'acte de recours dans le sens que l'on pouvait raisonnablement lui prêter, n'avait pas à s'interroger sur l'existence d'une seconde décision rendue le même jour, ni à interpeler les recourants sur leurs intentions à ce sujet. Ce n'est qu'en réponse aux observations de l'intimée, le 5 décembre 2013 - soit tardivement, alors que le délai de recours était largement échu -, que les recourants ont déclaré qu'ils entendaient s'en prendre également à la seconde décision du Conseil d'Etat concernant l'autorisation de construire.</w:t>
      </w:r>
    </w:p>
    <w:p>
      <w:r>
        <w:t>L'arrêt cantonal ne consacre dès lors aucun déni de justice ni aucun formalisme excessif en retenant que le recours était dirigé contre la seule décision relative au plan de quartier.</w:t>
      </w:r>
    </w:p>
    <w:p>
      <w:r>
        <w:rPr>
          <w:b/>
        </w:rPr>
        <w:t>E. 3</w:t>
      </w:r>
    </w:p>
    <w:p>
      <w:r>
        <w:t>Helvetia Nostra estime ensuite que la qualité pour recourir à l'encontre du plan de quartier aurait dû lui être reconnue, dans la mesure où la planification violerait l' art. 75b Cst. , disposition dont la mise en oeuvre relèverait d'une tâche fédérale. En outre, une organisation ne pourrait plus s'opposer ensuite aux autorisations de construire des résidences secondaires si elle ne s'opposait pas d'abord à un plan d'affectation à caractère décisionnel.</w:t>
      </w:r>
    </w:p>
    <w:p>
      <w:r>
        <w:t>La cour cantonale a considéré pour sa part que le recours ne portait pas sur la réalisation de résidences secondaires, mais sur un plan de quartier qui ne fait que définir un périmètre constructible, sans fixer l'affectation des bâtiments.</w:t>
      </w:r>
    </w:p>
    <w:p>
      <w:r>
        <w:t>On peut certes se demander si la mesure de planification, qui porte sur l'implantation de huit chalets avec une route d'accès sur une même parcelle, peut être assimilée à une décision, et si Helvetia Nostra peut être légitimée à recourir en invoquant l' art. 75b Cst. La question peut néanmoins demeurer indécise en l'espèce. En effet, l'autorisation de construire les huit chalets - contre laquelle Helvetia Nostra aurait assurément pu recourir en invoquant l' art. 75b Cst. - est désormais entrée en force, faute d'avoir été contestée en temps utile. Une remise en cause ultérieure de la planification ne saurait constituer une cause de nullité absolue de cette autorisation de construire. Seuls en effet les vices les plus graves et évidents (incompétence qualifiée de l'autorité ayant rendu la décision, vices graves de procédure) peuvent avoir une telle conséquence, pour autant que la sécurité du droit ne s'en trouve pas compromise ( ATF 132 II 21 consid. 3.1 p. 27). En l'occurrence, en cas d'annulation du plan de quartier et de rétablissement de la planification antérieure, l'autorisation de construire - délivrée par l'autorité compétente et dans le respect des règles de procédure - se verrait affectée après coup d'un simple vice de fond (violation des règles sur la densité des constructions), ce qui serait insuffisant pour impliquer sa nullité ( ATF 132 II 21 consid. 3.2.2 p. 28; 138 III 49 consid. 4.5.1 p. 58; arrêt 1P. 27/2006 du 12 juillet 2006, consid. 4). La remise en cause du plan de quartier n'aurait donc aucun effet sur la réalisation litigieuse.</w:t>
      </w:r>
    </w:p>
    <w:p>
      <w:r>
        <w:rPr>
          <w:b/>
        </w:rPr>
        <w:t>E. 4</w:t>
      </w:r>
    </w:p>
    <w:p>
      <w:r>
        <w:t>Sur le vu de ce qui précède, le recours doit être rejeté, dans la mesure où il est recevable. Conformément à l' art. 66 al. 1 LTF , les frais judiciaires sont mis à la charge des recourants, de même que l'indemnité de dépens allouée à l'intimée B.________ ( art. 68 al. 2 LTF ). Confor-mément à l' art. 68 al. 3 LTF , il n'est pas alloué de dépens à la commune, quand bien même celle-ci a procédé par l'entremise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