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644/2018 vom 14. März 2019</w:t>
      </w:r>
    </w:p>
    <w:p>
      <w:r>
        <w:t>Bundesgericht, 2019-03-14, DE</w:t>
      </w:r>
    </w:p>
    <w:p>
      <w:r>
        <w:rPr>
          <w:b/>
        </w:rPr>
        <w:t xml:space="preserve">Quelle: </w:t>
      </w:r>
      <w:r>
        <w:t>https://mcp.opencaselaw.ch/entscheid/bger_1C_644_2018</w:t>
      </w:r>
    </w:p>
    <w:p>
      <w:r>
        <w:t>FR: TF 1C 644/2018 du 14 mars 2019</w:t>
      </w:r>
    </w:p>
    <w:p>
      <w:r>
        <w:t>IT: TF 1C 644/2018 del 14 marzo 2019</w:t>
      </w:r>
    </w:p>
    <w:p>
      <w:pPr>
        <w:pStyle w:val="Heading2"/>
      </w:pPr>
      <w:r>
        <w:t>Regeste</w:t>
      </w:r>
    </w:p>
    <w:p>
      <w:r>
        <w:t>Ermächtigung zur Eröffnung einer Strafuntersuchung | Strafprozess</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 Der Beschwerdegegner fällt nicht in diese Kategorie. Der Beschwerdeführer hat am Verfahren vor der Vorinstanz teilgenommen. Inwiefern er von den behaupteten Straftatbeständen potenziell direkt betroffen und damit nach Art. 89 Abs. 1 BGG zur Beschwerde legitimiert ist, kann mit Blick auf den Prozessausgang offenbleiben.</w:t>
      </w:r>
    </w:p>
    <w:p>
      <w:r>
        <w:rPr>
          <w:b/>
        </w:rPr>
        <w:t>E. 2.1</w:t>
      </w:r>
    </w:p>
    <w:p>
      <w:r>
        <w:t>Das Obergericht hält im angefochtenen Entscheid fest, dass der Beschwerdegegner einen den Beschwerdeführer betreffenden Beschluss betreffend Sozialhilfe erlassen habe und eine dagegen gerichtete Beschwerde in der Folge vom Bezirksrat teilweise gutgeheissen worden sei, weise nicht auf ein strafbares Verhalten hin. Dies steht im Einklang mit der bundesgerichtlichen Rechtsprechung (Urteil 1C_70/2018 vom 3. Mai 2018 E. 1.3). Die diesbezügliche Kritik des Beschwerdeführers ist unbegründet. Dies gilt auch in Bezug auf die in diesem Zusammenhang gerügte Verletzung von Art. 6 EMRK und Art. 9 BV , die der Beschwerdeführer darin erblickt, dass das Obergericht für einen betroffenen Beamten Partei ergriffen habe.</w:t>
      </w:r>
    </w:p>
    <w:p>
      <w:r>
        <w:rPr>
          <w:b/>
        </w:rPr>
        <w:t>E. 2.2</w:t>
      </w:r>
    </w:p>
    <w:p>
      <w:r>
        <w:t>Soweit der Beschwerdeführer geltend macht, das Obergericht habe unzutreffende Tatsachenfeststellungen getroffen, ist nicht ersichtlich, inwiefern diese für den Ausgang des Verfahrens von Bedeutung sein könnten, weshalb darauf nicht einzugehen ist ( Art. 97 Abs. 1 BGG ).</w:t>
      </w:r>
    </w:p>
    <w:p>
      <w:r>
        <w:rPr>
          <w:b/>
        </w:rPr>
        <w:t>E. 3</w:t>
      </w:r>
    </w:p>
    <w:p>
      <w:r>
        <w:t>Die Beschwerde ist abzuweisen, soweit darauf eingetreten werden kann. Dem Gesuch um unentgeltliche Rechtspflege kann wegen Aussichtslosigkeit der Vorbringen nicht entsprochen werden (vgl. Art. 64 Abs. 1 BGG ). Die Umstände rechtfertigen indessen,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