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1C_643/2025 vom 7. November 2025</w:t>
      </w:r>
    </w:p>
    <w:p>
      <w:r>
        <w:t>Bundesgericht, 2025-11-07, DE</w:t>
      </w:r>
    </w:p>
    <w:p>
      <w:r>
        <w:rPr>
          <w:b/>
        </w:rPr>
        <w:t xml:space="preserve">Quelle: </w:t>
      </w:r>
      <w:r>
        <w:t>https://mcp.opencaselaw.ch/entscheid/bger_1C_643_2025</w:t>
      </w:r>
    </w:p>
    <w:p>
      <w:r>
        <w:t>FR: TF 1C_643/2025 du 7 novembre 2025</w:t>
      </w:r>
    </w:p>
    <w:p>
      <w:r>
        <w:t>IT: TF 1C_643/2025 del 7 novembre 2025</w:t>
      </w:r>
    </w:p>
    <w:p>
      <w:pPr>
        <w:pStyle w:val="Heading2"/>
      </w:pPr>
      <w:r>
        <w:t>Erwägungen</w:t>
      </w:r>
    </w:p>
    <w:p>
      <w:r>
        <w:rPr>
          <w:b/>
        </w:rPr>
        <w:t>E. 1</w:t>
      </w:r>
    </w:p>
    <w:p>
      <w:r>
        <w:t>Der Beschwerdeführer spricht Deutsch. Anders als noch im Verfahren vor Bundesstrafgericht ist er nicht mehr anwaltlich vertreten. Obwohl der angefochtene Entscheid auf Französisch verfasst ist, wird das Verfahren vor Bundesgericht deshalb auf Deutsch geführt (vgl. Art. 54 Abs. 1 BGG ).</w:t>
      </w:r>
    </w:p>
    <w:p>
      <w:r>
        <w:rPr>
          <w:b/>
        </w:rPr>
        <w:t>E. 2.1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 BGE 145 IV 99 E. 1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(zum Ganzen: BGE 145 IV 99 E. 1.2 mit Hinweisen). Gemäss Art. 42 Abs. 2 BGG ist in der Begründung der Rechtsschrift in gedrängter Form darzulegen, inwiefern der angefochtene Akt Recht verletzt. Ist eine Beschwerde nur unter der Voraussetzung zulässig, dass ein besonders bedeutender Fall nach Art. 84 vorliegt, so ist auszuführen, warum diese Voraussetzung erfüllt ist ( BGE 145 IV 99 E. 1.5 mit Hinweisen). 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Gemäss Art. 93 Abs. 2 BGG sind auf dem Gebiet der internationalen Rechtshilfe in Strafsachen Zwischenentscheide nicht anfechtbar. Vorbehalten bleiben Beschwerden gegen Entscheide unter anderem über die Auslieferungshaft, sofern die Voraussetzungen von Abs. 1 erfüllt sind. Da ein erlittener Freiheitsentzug nicht mehr rückgängig gemacht werden kann, trifft dies zu ( BGE 136 IV 20 E. 1.1). Auch ein Entscheid über die Auslieferungshaft ist jedoch nur anfechtbar, wenn ein besonders bedeutender Fall nach Art. 84 BGG gegeben ist ( BGE 136 IV 20 E. 1.2 mit Hinweisen).</w:t>
      </w:r>
    </w:p>
    <w:p>
      <w:r>
        <w:rPr>
          <w:b/>
        </w:rPr>
        <w:t>E. 2.3</w:t>
      </w:r>
    </w:p>
    <w:p>
      <w:r>
        <w:t>Der Beschwerdeführer behauptet nicht, dass die vorinstanzlichen Erwägungen von der bundesgerichtlichen Rechtsprechung abweichen würden. Er wirft dem Bundesstrafgericht jedoch vor, nicht berücksichtigt zu haben, dass er im Mai 2025 bereits in Italien inhaftiert worden sei. Die italienischen Gerichte hätten entschieden, dass er nur zur Teilnahme am Strafverfahren den deutschen Behörden auszuliefern und in der Folge wieder nach Italien zu verbringen sei. Er beruft sich insofern auf den in Art. 9 des Europäischen Auslieferungsübereinkommens vom 13. Dezember 1957 (SR 0.353.1) verankerten Grundsatz "ne bis in idem". Danach wird die Auslieferung nicht bewilligt, wenn der Verfolgte wegen Handlungen, derentwegen um Auslieferung ersucht wird, von den zuständigen Behörden des ersuchten Staates rechtskräftig abgeurteilt worden ist (Satz 1). Dass hier eine solche Situation bestehen würde, legt er jedoch nicht dar und ist auch nicht ersichtlich. Im Übrigen sind die vom Beschwerdeführer ins Feld geführten italienischen Gerichtsentscheide im Rahmen eines auf Gesuch Deutschlands eröffneten Auslieferungshaftverfahrens in der Schweiz nicht verbindlich. Für das Bundesgericht besteht daher kein Anlass, die Sache an die Hand zu nehmen.</w:t>
      </w:r>
    </w:p>
    <w:p>
      <w:r>
        <w:rPr>
          <w:b/>
        </w:rPr>
        <w:t>E. 3</w:t>
      </w:r>
    </w:p>
    <w:p>
      <w:r>
        <w:t>Auf die Beschwerde ist nicht einzutreten. Die Gerichtskosten sind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