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1C_643/2017 vom 30. November 2017</w:t>
      </w:r>
    </w:p>
    <w:p>
      <w:r>
        <w:t>Bundesgericht, 2017-11-30, IT</w:t>
      </w:r>
    </w:p>
    <w:p>
      <w:r>
        <w:rPr>
          <w:b/>
        </w:rPr>
        <w:t xml:space="preserve">Quelle: </w:t>
      </w:r>
      <w:r>
        <w:t>https://mcp.opencaselaw.ch/entscheid/bger_1C_643_2017</w:t>
      </w:r>
    </w:p>
    <w:p>
      <w:r>
        <w:t>FR: TF 1C_643/2017 du 30 novembre 2017</w:t>
      </w:r>
    </w:p>
    <w:p>
      <w:r>
        <w:t>IT: TF 1C_643/2017 del 30 novembre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Secondo l' art. 84 LTF , contro le decisioni emanate nel campo dell'assistenza giudiziaria internazionale in materia penale il ricorso è ammissibile soltanto se tra l'altro concerne, come in concreto, un'estradizione ( DTF 136 IV 20 consid. 1.1 e 1.2) e inoltre se si tratti di un caso particolarmente importante (cpv. 1). Si è segnatamente in presenza di un siffatto caso, laddove vi sono motivi per ritenere che sono stati violati elementari principi procedurali o che il procedimento all'estero presenta gravi lacune (cpv. 2). Questi motivi di entrata nel merito non sono tuttavia esaustivi e il Tribunale federale può essere chiamato a intervenire anche quando si tratti di dirimere una questione giuridica di principio ( DTF 136 IV 20 consid. 1.2; 134 IV 156 consid. 1.3.3 e 1.3.4) o quando l'istanza precedente si è scostata dalla giurisprudenza costante ( DTF 139 IV 294 consid. 1.1; 133 IV 131 consid. 3). Conformemente all' art. 42 cpv. 2 LTF , spetta al ricorrente dimostrare che le condizioni di entrata in materia richieste dall' art. 84 LTF sono adempiute ( DTF 139 IV 294 consid. 1.1).</w:t>
      </w:r>
    </w:p>
    <w:p>
      <w:r>
        <w:rPr>
          <w:b/>
        </w:rPr>
        <w:t>E. 1.2</w:t>
      </w:r>
    </w:p>
    <w:p>
      <w:r>
        <w:t>Quest'ultima norma persegue lo scopo di limitare efficacemente l'accesso al Tribunale federale nell'ambito dell'assistenza giudiziaria in materia penale ( DTF 133 IV 132 consid. 1.3). Nella valutazione circa l'esistenza di un caso particolarmente importante giusta l' art. 84 LTF , che dev'essere ammesso in maniera restrittiva anche in materia estradizionale, il Tribunale federale dispone di un ampio potere di apprezzamento ( DTF 134 IV 156 consid. 1.3.1 e 1.3.2).</w:t>
      </w:r>
    </w:p>
    <w:p>
      <w:r>
        <w:rPr>
          <w:b/>
        </w:rPr>
        <w:t>E. 2</w:t>
      </w:r>
    </w:p>
    <w:p>
      <w:r>
        <w:t>Il ricorrente, limitandosi a rilevare che non è d'accordo di rientrare nel suo Paese e che l'estradizione e la carcerazione successiva renderebbero difficoltose le relazioni con sua moglie e la di lei figlia residenti in Francia, adduce che sarebbe leso il rispetto della vita privata e famigliare garantito dall' art. 8 CEDU . Egli tuttavia neppure tenta di dimostrare che nella fattispecie si sarebbe in presenza di un caso particolarmente importante ai sensi dell' art. 84 cpv. 2 AIMP . Per di più, disattendendo il suo obbligo di motivazione ( art. 42 cpv. 2 LTF ; DTF 143 II 283 consid. 1.2.2 pag. 286), egli non si confronta del tutto con i motivi posti a fondamento della decisione impugnata, per i quali, fondandosi rettamente sulla costante giurisprudenza, nel caso concreto non vi è alcuna violazione dell' art. 8 CEDU .</w:t>
      </w:r>
    </w:p>
    <w:p>
      <w:r>
        <w:rPr>
          <w:b/>
        </w:rPr>
        <w:t>E. 3</w:t>
      </w:r>
    </w:p>
    <w:p>
      <w:r>
        <w:t>Il ricorso è pertanto inammissibile. Considerata la situazione finanziaria del ricorrente si può eccezionalmente rinunciare a prelevare le spese giudiziarie (art. 66 cpv. 1 secondo periodo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