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643/2013 vom 14. April 2014</w:t>
      </w:r>
    </w:p>
    <w:p>
      <w:r>
        <w:t>Bundesgericht, 2014-04-14, DE</w:t>
      </w:r>
    </w:p>
    <w:p>
      <w:r>
        <w:rPr>
          <w:b/>
        </w:rPr>
        <w:t xml:space="preserve">Quelle: </w:t>
      </w:r>
      <w:r>
        <w:t>https://mcp.opencaselaw.ch/entscheid/bger_1C_643_2013</w:t>
      </w:r>
    </w:p>
    <w:p>
      <w:r>
        <w:t>FR: TF 1C 643/2013 du 14 avril 2014</w:t>
      </w:r>
    </w:p>
    <w:p>
      <w:r>
        <w:t>IT: TF 1C 643/2013 del 14 aprile 2014</w:t>
      </w:r>
    </w:p>
    <w:p>
      <w:pPr>
        <w:pStyle w:val="Heading2"/>
      </w:pPr>
      <w:r>
        <w:t>Regeste</w:t>
      </w:r>
    </w:p>
    <w:p>
      <w:r>
        <w:t>Landumlegung Donner-Biser-Blatten (Teilzonen-und Umlegungsplan)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Art. 83 BGG ; BGE 133 II 249 E. 1.2 S. 251). Der Beschwerdeführer hat am vorinstanzlichen Verfahren teilgenommen. Er ist Eigentümer des in die Landumlegung "Donner-Biser-Blatten" einbezogenen Grundstücks Gbbl. Nr. 1'037. Der Beschwerdeführer ist durch den angefochtenen Entscheid, mit welchem seine Beschwerde abgewiesen worden ist, besonders berührt und hat ein schutzwürdiges Interesse an dessen Aufhebung oder Änderung. Er ist damit gemäss Art. 89 Abs. 1 BGG zur Beschwerde legitimiert.</w:t>
      </w:r>
    </w:p>
    <w:p>
      <w:r>
        <w:rPr>
          <w:b/>
        </w:rPr>
        <w:t>E. 1.2</w:t>
      </w:r>
    </w:p>
    <w:p>
      <w:r>
        <w:t>Der Beschwerdeführer reicht im bundesgerichtlichen Verfahren neue Beweismittel ein. Dies ist indes nur zulässig, soweit der Entscheid der Vorinstanz dazu Anlass gibt, was in der Beschwerde näher darzulegen ist ( Art. 99 Abs. 1 BGG ; BGE 134 V 223 E. 2.2.1 S. 226 mit Hinweis). Diese Voraussetzungen sind vorliegend nicht erfüllt. Gegenteiliges wird vom Beschwerdeführer auch nicht behauptet.</w:t>
      </w:r>
    </w:p>
    <w:p>
      <w:r>
        <w:rPr>
          <w:b/>
        </w:rPr>
        <w:t>E. 1.3.1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bedingt aber,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1.3.2</w:t>
      </w:r>
    </w:p>
    <w:p>
      <w:r>
        <w:t>Auch wenn zugunsten des Beschwerdeführers berücksichtigt wird, dass er im Verfahren von Bundesgericht nicht mehr anwaltlich vertreten ist, genügt die Beschwerde diesen Begründungsanforderungen nur zum Teil. Das Baudepartement trat in seinem Entscheid vom 14. Dezember 2011 auf den Antrag des Beschwerdeführers, es sei auf die Erhebung von Verfahrens- und Erschliessungskosten zu verzichten, mangels sachlicher Zuständigkeit (vgl. Art. 115 des Gesetzes über die Raumplanung und das öffentliche Baurecht des Kantons St. Gallen vom 6. Juni 1972 [Baugesetz, BauG/SG; sGS 731.1]) nicht ein. Nicht eingetreten ist das Baudepartement zudem auf das Begehren, es sei auf die Landumlegung insgesamt zu verzichten. Schliesslich trat das Baudepartement auf die Rüge der Verletzung von (a) Art. 109 Abs. 2 BauG/SG mit der Begründung nicht ein, die Bestimmung sei per 1. Januar 2010 ersatzlos aufgehoben worden. Die Vorinstanz ist in diesen Punkten auf die bei ihr erhobene Beschwerde ebenfalls nicht eingetreten. Zur Begründung hat sie ausgeführt, der Beschwerdeführer habe sich darauf beschränkt, seine Rechtsbegehren zu wiederholen, ohne sich mit den Erwägungen des Baudepartements auseinanderzusetzen. Auch in seiner Beschwerde an das Bundesgericht geht der Beschwerdeführer insoweit mit keinem Wort auf die vorinstanzlichen Ausführungen ein und begründet nicht, weshalb die Vorinstanzen seines Erachtens zu Unrecht auf seine Rügen nicht eingetreten sind. Mangels hinreichender Substanziierung ist auf die Beschwerde in diesen Punkten nicht einzutreten.</w:t>
      </w:r>
    </w:p>
    <w:p>
      <w:r>
        <w:rPr>
          <w:b/>
        </w:rPr>
        <w:t>E. 2.1</w:t>
      </w:r>
    </w:p>
    <w:p>
      <w:r>
        <w:t>Der Beschwerdeführer rügt eine Verletzung der Eigentumsgarantie und macht geltend, an der Erschliessungsvariante "Donnerstrasse" bestehe kein öffentliches Interesse, denn es sei möglich, das Baugebiet stattdessen entweder über die "Blattenstrasse" oder die "Spitalstrasse" zu erschliessen; bei diesen beiden Varianten sei ein Einbezug seines Grundstücks nicht erforderlich. Des Weiteren hält der Beschwerdeführer dem öffentlichen Interesse an der Erschliessung des Plangebiets sein Interesse an der unveränderten Fortführung des Landwirtschaftsbetriebs entgegen.</w:t>
      </w:r>
    </w:p>
    <w:p>
      <w:r>
        <w:rPr>
          <w:b/>
        </w:rPr>
        <w:t>E. 2.2</w:t>
      </w:r>
    </w:p>
    <w:p>
      <w:r>
        <w:t>Das Strassenprojekt "Donnerstrasse" bzw. die damit verbundene Landumlegung führt dazu, dass der Beschwerdeführer knapp 0,34 ha seines Eigenlands nicht mehr landwirtschaftlich nutzen kann (3'728 m2 abzüglich 354 m2 [vgl. Sachverhalt lit. A. hiervor]). Dies stellt einen Eingriff in die verfassungsrechtlich geschützte Eigentumsgarantie ( Art. 26 BV ) dar. Ein solcher Eingriff ist gemäss Art. 36 BV nur zulässig, wenn er auf einer genügenden gesetzlichen Grundlage beruht, im öffentlichen Interesse liegt und den Grundsatz der Verhältnismässigkeit wahrt. Die Vorinstanzen haben als gesetzliche Grundlage für das Strassenprojekt Art. 115 lit. b BauG/SG herangezogen, was vom Beschwerdeführer nicht in Frage gestellt wird. Das öffentliche Interesse verlangt in erster Linie, dass unter ortsplanerischen Gesichtspunkten eine zweckmässige Erschliessung und unter polizeilichen Aspekten hinreichende Zufahrten geschaffen werden. Im Rahmen der Verhältnismässigkeitsprüfung ist eine Abwägung zwischen dem öffentlichen Interesse sowie allfälligen privaten Interessen anderer Grundeigentümer an der konkreten Linienführung der Erschliessungsstrasse und dem entgegenstehenden Interesse des Beschwerdeführers vorzunehmen (vgl. Urteil 1P.62/2007 vom 17. August 2007 E. 4). Das Bundesgericht prüft die Frage, ob die angefochtene Massnahme im öffentlichen Interesse liegt und verhältnismässig ist, grundsätzlich frei. Dabei auferlegt es sich allerdings eine gewisse Zurückhaltung, soweit die Beurteilung von besonderen örtlichen Verhältnissen abhängt, welche die kantonalen Behörden besser kennen und überblicken (vgl. BGE 132 II 408 E. 4.3 S. 416 mit Hinweisen).</w:t>
      </w:r>
    </w:p>
    <w:p>
      <w:r>
        <w:rPr>
          <w:b/>
        </w:rPr>
        <w:t>E. 2.3</w:t>
      </w:r>
    </w:p>
    <w:p>
      <w:r>
        <w:t>Die Vorinstanz hat erwogen, mit der Landumlegung "Donner-Biser-Blatten" solle eine günstige Parzelleneinteilung herbeigeführt und eine zweckmässige Überbauung des Gebiets ermöglicht werden; dabei spiele die Erschliessung eine massgebliche Rolle. Die Topografie, d.h. die Steilheit des Geländes mit Steigungen bis zu 20%, lasse eine Erschliessung des obersten Teils des Baugebiets über die Spital- oder die Blattenstrasse - soweit technisch überhaupt machbar - nur mit unverhältnismässigen Erdbewegungen und einem beträchtlichen Landbedarf zu. Demgegenüber könne die Erschliessung mit dem Strassenprojekt "Donnerstrasse" mit relativ geringfügigem Gefälle technisch ohne erheblichen Aufwand realisiert werden. Zudem werde hierdurch der gewachsenen Struktur des überbauten und nicht überbauten Gebiets Rechnung getragen. Das Strassenprojekt "Donnerstrasse" erfülle die gesetzlichen Voraussetzungen und liege im öffentlichen Interesse. Das private Interesse des Beschwerdeführers an der unveränderten Weiterführung seines Landwirtschaftsbetriebs falle weniger stark ins Gewicht. Zu berücksichtigen sei insoweit, dass der im Pensionsalter stehende Beschwerdeführer nur über 1,86 ha Eigenland verfüge, und dass er aufgrund der Überbauung des Plangebiets rund 4 (der heute 9) ha Pachtland verlieren werde. Wie er diesen Wegfall kompensieren wolle, lege der Beschwerdeführer nicht dar. Nicht geregelt sei auch die Betriebsnachfolge.</w:t>
      </w:r>
    </w:p>
    <w:p>
      <w:r>
        <w:rPr>
          <w:b/>
        </w:rPr>
        <w:t>E. 2.4</w:t>
      </w:r>
    </w:p>
    <w:p>
      <w:r>
        <w:t>Die Vorinstanz hat sich im angefochtenen Urteil mit den beiden vom Beschwerdeführer in der Beschwerde erwähnten Erschliessungsvarianten auseinandergesetzt und sie mit einlässlicher Begründung verworfen. Sodann hat sich die Vorinstanz eingehend mit dem Interesse des Beschwerdeführers am unveränderten Fortbestand seines Landwirtschaftsbetriebs befasst. Der Beschwerdeführer rügt weder die tatsächlichen Feststellungen als willkürlich, noch setzt er sich auch nur ansatzweise mit der Argumentation der Vorinstanz auseinander. Inwiefern die Ausführungen im angefochtenen Urteil Bundesrecht verletzen sollten, ist nicht ersichtlich. Vielmehr hat die Vorinstanz nachvollziehbar aufgezeigt, dass die geplante Linienführung die einzig zweckmässige Lösung zur Erschliessung des Baugebiets ist. Auch die im angefochtenen Urteil vorgenommene Interessenabwägung überzeugt. Betreffend das dem gewichtigen öffentlichen Interesse an der Erschliessung des Baugebiets entgegenstehende Interesse des Beschwerdeführers fällt insbesondere ins Gewicht, dass allein der Verlust von knapp 0,34 ha Landwirtschaftsland keine Existenzbedrohung für den Landwirtschaftsbetrieb des Beschwerdeführers darstellt; die Existenz des Betriebs ist vielmehr vor allem deshalb gefährdet, weil der Beschwerdeführer nur über einen sehr geringen Anteil an Eigenland verfügt und künftig 4 ha Pachtland wegfallen werden. Bereits aus diesem Grund vermag das private Interesse des Beschwerdeführers das öffentliche Interesse nicht aufzuwiegen.</w:t>
      </w:r>
    </w:p>
    <w:p>
      <w:r>
        <w:rPr>
          <w:b/>
        </w:rPr>
        <w:t>E. 3</w:t>
      </w:r>
    </w:p>
    <w:p>
      <w:r>
        <w:t>Die Beschwerde ist abzuweisen, soweit darauf eingetreten werden kann. Die Gerichtskosten sind dem unterliegenden Beschwerdeführer aufzuerlegen ( Art. 66 Abs. 1 BGG ). Die Gemeinde hat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