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1C_642/2018 vom 10. April 2019</w:t>
      </w:r>
    </w:p>
    <w:p>
      <w:r>
        <w:t>Bundesgericht, 2019-04-10, DE</w:t>
      </w:r>
    </w:p>
    <w:p>
      <w:r>
        <w:rPr>
          <w:b/>
        </w:rPr>
        <w:t xml:space="preserve">Quelle: </w:t>
      </w:r>
      <w:r>
        <w:t>https://mcp.opencaselaw.ch/entscheid/bger_1C_642_2018</w:t>
      </w:r>
    </w:p>
    <w:p>
      <w:r>
        <w:t>FR: TF 1C_642/2018 du 10 avril 2019</w:t>
      </w:r>
    </w:p>
    <w:p>
      <w:r>
        <w:t>IT: TF 1C_642/2018 del 10 aprile 2019</w:t>
      </w:r>
    </w:p>
    <w:p>
      <w:pPr>
        <w:pStyle w:val="Heading2"/>
      </w:pPr>
      <w:r>
        <w:t>Erwägungen</w:t>
      </w:r>
    </w:p>
    <w:p>
      <w:r>
        <w:rPr>
          <w:b/>
        </w:rPr>
        <w:t>E. 1.1</w:t>
      </w:r>
    </w:p>
    <w:p>
      <w:r>
        <w:t>Beim angefochtenen Entscheid handelt es sich um einen kantonal letztinstanzlichen Endentscheid, gegen den die Beschwerde in öffentlich-rechtlichen Angelegenheiten an das Bundesgericht grundsätzlich offen steht ( Art. 82 ff. BGG ).</w:t>
      </w:r>
    </w:p>
    <w:p>
      <w:r>
        <w:rPr>
          <w:b/>
        </w:rPr>
        <w:t>E. 1.2</w:t>
      </w:r>
    </w:p>
    <w:p>
      <w:r>
        <w:t>Streitgegenstand bildet einzig die Frage, ob der Beschwerdeführer vor dem Obergericht zur Beschwerde legitimiert war, was dieses verneinte.</w:t>
      </w:r>
    </w:p>
    <w:p>
      <w:r>
        <w:rPr>
          <w:b/>
        </w:rPr>
        <w:t>E. 1.3</w:t>
      </w:r>
    </w:p>
    <w:p>
      <w:r>
        <w:t>Der Beschwerdeführer war am vorinstanzlichen Verfahren beteiligt und ist vom angefochtenen Nichteintretensentscheid besonders berührt (vgl. Art. 89 Abs. 1 BGG ). Unabhängig davon, ob er in der Sache zur Beschwerdeerhebung berechtigt wäre, ist er jedenfalls legitimiert, den Nichteintretensentscheid der Vorinstanz anzufechten, da es insoweit um seine prozessualen Parteirechte geht (sog. "Star-Praxis"; BGE 141 IV 1 E. 1.1 mit Hinweisen).</w:t>
      </w:r>
    </w:p>
    <w:p>
      <w:r>
        <w:rPr>
          <w:b/>
        </w:rPr>
        <w:t>E. 1.4</w:t>
      </w:r>
    </w:p>
    <w:p>
      <w:r>
        <w:t>In rechtlicher Hinsicht kann mit der Beschwerde in öffentlich-rechtlichen Angelegenheiten insbesondere die Verletzung von Bundesrecht gerügt werden ( Art. 95 lit. a BGG ).</w:t>
      </w:r>
    </w:p>
    <w:p>
      <w:r>
        <w:rPr>
          <w:b/>
        </w:rPr>
        <w:t>E. 1.5</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w:t>
      </w:r>
    </w:p>
    <w:p>
      <w:r>
        <w:rPr>
          <w:b/>
        </w:rPr>
        <w:t>E. 2</w:t>
      </w:r>
    </w:p>
    <w:p>
      <w:r>
        <w:t>Der Beschwerdeführer reichte vor Bundesgericht neue Unterlagen ein, was das Obergericht für unzulässig hält. Nach Art. 99 BGG dürfen neue Tatsachen und Beweismittel nur so weit vorgebracht werden, als erst der Entscheid der Vorinstanz dazu Anlass gibt. Der Beschwerdeführer hält dafür, diese Voraussetzung sei hier erfüllt. Wie es sich damit verhält, kann offen bleiben, da über die Beschwerde auch ohne Berücksichtigung der neu eingereichten Unterlagen entschieden werden kann. Der Sachverhalt ist mit Blick auf die einzig zu entscheidende Legitimationsfrage ausreichend erstellt.</w:t>
      </w:r>
    </w:p>
    <w:p>
      <w:r>
        <w:rPr>
          <w:b/>
        </w:rPr>
        <w:t>E. 3.1</w:t>
      </w:r>
    </w:p>
    <w:p>
      <w:r>
        <w:t>Der Beschwerdeführer beruft sich auf Art. 89 Abs. 1 BGG und leitet daraus eine Verletzung von Bundesrecht ab. Nach dem Grundsatz der Einheit des Verfahrens muss sich unter anderem am Verfahren vor allen kantonalen Vorinstanzen als Partei beteiligen können, wer zur Beschwerde an das Bundesgericht berechtigt ist ( Art. 111 Abs. 1 BGG ). Ob die entsprechenden Voraussetzungen erfüllt sind, prüft das Bundesgericht frei ( BGE 135 II 145 E. 5 S. 149 f.).</w:t>
      </w:r>
    </w:p>
    <w:p>
      <w:r>
        <w:rPr>
          <w:b/>
        </w:rPr>
        <w:t>E. 3.2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Die Befugnis zur Beschwerde setzt ein aktuelles und praktisches Interesse an der Gutheissung der gestellten Rechtsbegehren voraus. Die rechtsuchende Partei muss eine im konkreten Fall eingetretene Verletzung ihrer Rechte geltend machen. Ob ein aktuelles Interesse gegeben ist, beurteilt sich nach den Wirkungen und der Tragweite einer allfälligen Gutheissung der Beschwerde (vgl. BGE 131 I 153 E. 1.2 S. 157).</w:t>
      </w:r>
    </w:p>
    <w:p>
      <w:r>
        <w:rPr>
          <w:b/>
        </w:rPr>
        <w:t>E. 3.3</w:t>
      </w:r>
    </w:p>
    <w:p>
      <w:r>
        <w:t>Das Obergericht verneinte die aktuelle Betroffenheit des Beschwerdeführers, wozu dieser gegenteiliger Auffassung ist. Im vorliegenden Fall bildet eine Allgemeinverfügung Gegenstand des Rechtsstreites. Allgemeinverfügungen werden hinsichtlich ihrer Anfechtbarkeit und namentlich mit Blick auf die Legitimationsvoraussetzungen wie Verfügungen behandelt. Aufgrund des offenen Adressatenkreises bestimmt sich die Beschwerdebefugnis nach den für Drittpersonen geltenden Kriterien. Ausgeschlossen bleibt die Popularbeschwerde. Der Beschwerdeführer muss daher stärker als jedermann betroffen sein und in einer besonderen, beachtenswerten, nahen Beziehung zur Streitsache stehen. Auch Drittbetroffene sind beschwerdeberechtigt, wenn sie durch die in der Allgemeinverfügung enthaltenen Anordnungen in ihren rechtlichen und tatsächlichen Interessen besonders betroffen sind und ein aktuelles und praktisches Interesse an deren Aufhebung oder Änderung haben (vgl. BGE 136 II 539 E. 1.1 S. 542 f.; Urteile des Bundesgerichts 1C_250/2015 vom 2. November 2015 E. 1.1, 2C_585/2009 vom 31. März 2010 E. 2.3 und 1C_160/2012 vom 10. Dezember 2012 E. 1.2, nicht publ. in: BGE 139 II 145 ; BERNHARD WALDMANN, in: Niggli et al. [Hrsg.], Bundesgerichtsgesetz, Basler Kommentar, 3. Aufl., 2018, Art. 189, N. 18c).</w:t>
      </w:r>
    </w:p>
    <w:p>
      <w:r>
        <w:rPr>
          <w:b/>
        </w:rPr>
        <w:t>E. 3.4</w:t>
      </w:r>
    </w:p>
    <w:p>
      <w:r>
        <w:t>Die strittige Allgemeinverfügung richtet sich nicht direkt oder spezifisch an den Beschwerdeführer. Er betreibt aber schon heute ein Wasserkraftwerk im erfassten Gebiet. Selbst wenn ihm die bisher konzessionierte Nutzung im Sinne einer Besitzstandsgarantie weiterhin erlaubt bleiben sollte, schränkt das neue Reglement die bis anhin grundsätzlich zulässigen Nutzungsmöglichkeiten ein. Es ist nicht bekannt, ob es überhaupt noch jemand anderen in vergleichbarer Lage gibt, der oder die ebenfalls im Schutzgebiet ein Kraftwerk betreibt. Selbst wenn dies zutreffen sollte, könnte es sich nur um eine kleine Minderheit handeln. So oder so wäre der Beschwerdeführer bereits mit Blick auf das bestehende Kraftwerk mehr als die Allgemeinheit vom strittigen Reglement betroffen. Der Beschwerdeführer verfolgt überdies ein Projekt für ein zweites Kraftwerk. Ob sich dieses eventuell auch unter dem strittigen Reglement realisieren liesse, wie die Vorinstanz als Möglichkeit annimmt, ist für die Legitimationsfrage unerheblich. Der Beschwerdeführer ist bereits Nutzer im vorgesehenen Schutzgebiet und es kann genauso gut von der theoretischen Möglichkeit ausgegangen werden, dass er die bisherige Nutzung zusätzlich vergrössern oder durch weitere Kraftwerke in einer Art und Weise ergänzen möchte, die zwar mit den bisherigen Nutzungsmöglichkeiten im Einklang stünden, aber mit dem strittigen Reglement nicht mehr zu vereinbaren wären. Entscheidend ist hier einzig, dass durch die vom Beschwerdeführer angefochtenen Schutzmassnahmen die bisherigen Nutzungsmöglichkeiten eingeschränkt werden und der Beschwerdeführer als bereits etablierter Nutzer der Wasserkraft mehr als die Allgemeinheit vom strittigen Reglement betroffen ist. Der Beschwerdeführer hat ein Interesse daran, die Rechtmässigkeit der Allgemeinverfügung prüfen zu lassen, nicht zuletzt weil ihm das auch eine bessere Einschätzung der Rechtmässigkeit und damit der Chancen des hängigen oder eines künftigen Konzessionsgesuchs ermöglichen würde. Bei einer Gutheissung seiner Anträge blieben im Übrigen die bisherigen Nutzungsmöglichkeiten weiter bestehen oder würden allenfalls weniger stark eingeschränkt als dies das Reglement vorsieht. Wieweit die heutige Nutzung und die Pläne des Beschwerdeführers durch die Allgemeinverfügung tatsächlich limitiert werden und ob dies rechtlich zulässig ist oder nicht, ist nicht im Rahmen der Legitimationsfrage, sondern bei der materiellen Überprüfung der Rechtmässigkeit des Reglements zu entscheiden. Ohnehin noch keine Rolle spielt hier die Frage der rechtlichen Zulässigkeit des konkreten Erweiterungs- oder Neubauprojekts des Beschwerdeführers, worüber erst und einzig in einem entsprechenden Konzessionsverfahren zu befinden wäre. Der Beschwerdeführer wäre demnach in der Sache nach Art. 89 Abs. 1 BGG zur Beschwerdeerhebung ans Bundesgericht legitimiert, weshalb ihm gestützt auf Art. 111 Abs. 1 BGG auch die Beschwerdeberechtigung vor dem Obergericht zusteht.</w:t>
      </w:r>
    </w:p>
    <w:p>
      <w:r>
        <w:rPr>
          <w:b/>
        </w:rPr>
        <w:t>E. 4</w:t>
      </w:r>
    </w:p>
    <w:p>
      <w:r>
        <w:t>Die Beschwerde erweist sich als begründet und ist gutzuheissen. Der angefochtene Entscheid muss aufgehoben werden. Die Sache geht zurück an das Obergericht zur weiteren Behandlung.</w:t>
      </w:r>
    </w:p>
    <w:p>
      <w:r>
        <w:t>Bei diesem Verfahrensausgang sind keine Kosten zu erheben ( Art. 66 Abs. 4 BGG ). Der Kanton Uri hat den obsiegenden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