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1C_641/2021 vom 2. November 2021</w:t>
      </w:r>
    </w:p>
    <w:p>
      <w:r>
        <w:t>Bundesgericht, 2021-11-02, FR</w:t>
      </w:r>
    </w:p>
    <w:p>
      <w:r>
        <w:rPr>
          <w:b/>
        </w:rPr>
        <w:t xml:space="preserve">Quelle: </w:t>
      </w:r>
      <w:r>
        <w:t>https://mcp.opencaselaw.ch/entscheid/bger_1C_641_2021</w:t>
      </w:r>
    </w:p>
    <w:p>
      <w:r>
        <w:t>FR: TF 1C_641/2021 du 2 novembre 2021</w:t>
      </w:r>
    </w:p>
    <w:p>
      <w:r>
        <w:t>IT: TF 1C_641/2021 del 2 novembre 2021</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w:t>
      </w:r>
    </w:p>
    <w:p>
      <w:r>
        <w:t>La recourante relève qu'elle dénonçait la violation de principes fondamentaux par les autorités portugaises ainsi que d'autres vices graves comme la violation systématique du droit d'être entendu, la corruption de l'appareil judiciaire au Portugal et la violation de la présomption d'innocence. La recourante perd ainsi de vue que l'arrêt attaqué ne statue pas sur ces questions qui relèvent du fond, mais uniquement sur la recevabilité du recours qui lui était soumis. Seule cette question peut en l'état être soulevée devant le Tribunal fédéral et c'est sur ce point-là uniquement que la recourante devrait démontrer l'existence d'un cas particulièrement important. A ce sujet, la recourante se plaint d'établissement inexact des faits, de formalisme excessif et d'une violation du principe de la proportionnalité, mais ne prétend pas qu'il existerait une question de principe, que la Cour des plaintes se serait écartée de la jurisprudence suivie jusque-là ou qu'un autre motif particulier justifierait une entrée en matière.</w:t>
      </w:r>
    </w:p>
    <w:p>
      <w:r>
        <w:rPr>
          <w:b/>
        </w:rPr>
        <w:t>E. 3</w:t>
      </w:r>
    </w:p>
    <w:p>
      <w:r>
        <w:t>Sur le vu de ce qui précède, le recours est irrecevable.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