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1C_640/2018 vom 4. Januar 2019</w:t>
      </w:r>
    </w:p>
    <w:p>
      <w:r>
        <w:t>Bundesgericht, 2019-01-04, DE</w:t>
      </w:r>
    </w:p>
    <w:p>
      <w:r>
        <w:rPr>
          <w:b/>
        </w:rPr>
        <w:t xml:space="preserve">Quelle: </w:t>
      </w:r>
      <w:r>
        <w:t>https://mcp.opencaselaw.ch/entscheid/bger_1C_640_2018</w:t>
      </w:r>
    </w:p>
    <w:p>
      <w:r>
        <w:t>FR: TF 1C_640/2018 du 4 janvier 2019</w:t>
      </w:r>
    </w:p>
    <w:p>
      <w:r>
        <w:t>IT: TF 1C_640/2018 del 4 gennaio 2019</w:t>
      </w:r>
    </w:p>
    <w:p>
      <w:pPr>
        <w:pStyle w:val="Heading2"/>
      </w:pPr>
      <w:r>
        <w:t>Erwägungen</w:t>
      </w:r>
    </w:p>
    <w:p>
      <w:r>
        <w:rPr>
          <w:b/>
        </w:rPr>
        <w:t>E. 1</w:t>
      </w:r>
    </w:p>
    <w:p>
      <w:r>
        <w:t>A.________ reichte am 2. Mai 2018 bei der Staatsanwaltschaft Winterthur/Unterland Strafanzeige ein gegen drei Sachbearbeiterinnen der Kindes- und Erwachsenenschutzbehörde Winterthur-Andelfingen sowie drei Mitglieder des Bezirksrats Winterthur wegen Amtsmissbrauchs.</w:t>
      </w:r>
    </w:p>
    <w:p>
      <w:r>
        <w:t>Mit Beschluss vom 6. November 2018 erteilte das Obergericht des Kantons Zürich der Staatsanwaltschaft Winterthur/Unterland die Ermächtigung zur Strafverfolgung der angezeigten Personen nicht.</w:t>
      </w:r>
    </w:p>
    <w:p>
      <w:r>
        <w:t>Mit Beschwerde vom 8. Dezember 2018 beantragt A.________, diesen Beschluss des Obergerichts aufzuheben und die Ermächtigung zur strafrechtlichen Verfolgung der sechs Beschwerdegegner zu erteilen, wobei die Untersuchung nicht durch die Staatsanwaltschaft Winterthur/Unterland zu führen sei.</w:t>
      </w:r>
    </w:p>
    <w:p>
      <w:r>
        <w:t>Vernehmlassungen wurden keine eingeholt.</w:t>
      </w:r>
    </w:p>
    <w:p>
      <w:r>
        <w:rPr>
          <w:b/>
        </w:rPr>
        <w:t>E. 2.1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angezeigten Personen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w:t>
      </w:r>
    </w:p>
    <w:p>
      <w:r>
        <w:rPr>
          <w:b/>
        </w:rPr>
        <w:t>E. 2.2</w:t>
      </w:r>
    </w:p>
    <w:p>
      <w:r>
        <w:t>Zur Beschwerde befugt ist nach Art. 89 Abs. 1 BGG , wer am vorinstanzlichen Verfahren als Partei teilgenommen hat, vom angefochtenen Entscheid besonders berührt ist und ein schutzwürdiges Interesse an dessen Aufhebung hat. Es ist Sache des Beschwerdeführers, seine Beschwerdebefugnis darzulegen, soweit sie nicht offensichtlich gegeben ist ( Art. 42 Abs. 2 BGG ; BGE 138 III 46 E. 1.2 S. 47; zum Ganzen: BGE 141 IV 284 E. 2.3 S. 287; 289 E. 1.3).</w:t>
      </w:r>
    </w:p>
    <w:p>
      <w:r>
        <w:t>Der Beschwerdeführer legt unter Verletzung der gesetzlichen Begründungspflicht nicht dar, inwiefern er zur Beschwerde befugt ist. Das ist auch keineswegs offensichtlich, weil Art. 312 StGB in erster Linie öffentliche Interessen schützt und nicht die privaten des Beschwerdeführers ( Art. 115 Abs. 1 StPO e contrario).</w:t>
      </w:r>
    </w:p>
    <w:p>
      <w:r>
        <w:rPr>
          <w:b/>
        </w:rPr>
        <w:t>E. 2.3</w:t>
      </w:r>
    </w:p>
    <w:p>
      <w:r>
        <w:t>Auf die Beschwerde ist damit im vereinfachten Verfahren nicht einzutreten. Von einer Kostenauflage kann ausnahmsweise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