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63/2018 vom 28. September 2018</w:t>
      </w:r>
    </w:p>
    <w:p>
      <w:r>
        <w:t>Bundesgericht, 2018-09-28, DE</w:t>
      </w:r>
    </w:p>
    <w:p>
      <w:r>
        <w:rPr>
          <w:b/>
        </w:rPr>
        <w:t xml:space="preserve">Quelle: </w:t>
      </w:r>
      <w:r>
        <w:t>https://mcp.opencaselaw.ch/entscheid/bger_1C_63_2018</w:t>
      </w:r>
    </w:p>
    <w:p>
      <w:r>
        <w:t>FR: TF 1C 63/2018 du 28 septembre 2018</w:t>
      </w:r>
    </w:p>
    <w:p>
      <w:r>
        <w:t>IT: TF 1C 63/2018 del 28 settembre 2018</w:t>
      </w:r>
    </w:p>
    <w:p>
      <w:pPr>
        <w:pStyle w:val="Heading2"/>
      </w:pPr>
      <w:r>
        <w:t>Regeste</w:t>
      </w:r>
    </w:p>
    <w:p>
      <w:r>
        <w:t>Beschluss des Grossen Rates des Kantons Basel-Stadt vom 19. Oktober 2017 betreffend Bürgerrechtsgesetz | Politische Rechte</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Wird im Normenkontrollverfahren eine Bestimmung des kantonalen oder kommunalen Rechts "abstrakt" (hauptfrageweise) angefochten, beschränkt der Streitgegenstand sich auf die Vereinbarkeit der strittigen Norm mit dem übergeordneten kantonalen oder eidgenössischen Recht ( Art. 82 lit. b BGG ). Handelt es sich um einen neuen oder vollständig revidierten Erlass, kann jede einzelne Bestimmung hauptfrageweise angefochten werden ( BGE 137 I 77 E. 1.2 S. 79 ; 135 I 28 E. 3.1.1 S. 31 und 3.1.2 S. 32).</w:t>
      </w:r>
    </w:p>
    <w:p>
      <w:r>
        <w:rPr>
          <w:b/>
        </w:rPr>
        <w:t>E. 1.3</w:t>
      </w:r>
    </w:p>
    <w:p>
      <w:r>
        <w:t>Nach § 116 Abs. 1 lit. d der Verfassung des Kantons Basel-Stadt vom 23. März 2005 (KV/BS; SR 131.222.1) beurteilt das basel-städtische Appellationsgericht als Verfassungsgericht Streitigkeiten betreffend den Schutz der Autonomie der Gemeinden. Gemäss Abs. 2 lit. b derselben Bestimmung können beim Verfassungsgericht Gesetze durch Beschwerde nicht angefochten werden, ausgenommen im Fall ihrer Anwendung oder bei Anfechtungen gemäss Abs. 1 lit. d. Daraus ergibt sich, dass nach der Kantonsverfassung ein Erlass beim Verfassungsgericht angefochten werden kann, wenn eine Verletzung der Gemeindeautonomie geltend gemacht wird (vgl. auch URS W. KAMBER, in: Denise Buser [Hrsg.], Neues Handbuch des Staats- und Verwaltungsrechts des Kantons Basel-Stadt, 2008, S. 244). § 30e des basel-städtischen Gesetzes vom 14. Juni 1928 über die Verfassungs- und Verwaltungsrechtspflege (VRPG) setzt allerdings diese Spezialregelung nicht um, sondern hält im Gegenteil in Abs. 2 lit. b ausnahmslos fest, dass Gesetze nicht beim Verfassungsgericht angefochten werden können. Auch § 30o VRPG bestimmt lediglich, dass Einwohner- und Bürgergemeinden wegen Verletzung der Gemeindeautonomie Verfügungen und Entscheide letztinstanzlicher Verwaltungsbehörden des Kantons beim Verfassungsgericht anfechten können.</w:t>
      </w:r>
    </w:p>
    <w:p>
      <w:r>
        <w:rPr>
          <w:b/>
        </w:rPr>
        <w:t>E. 1.4</w:t>
      </w:r>
    </w:p>
    <w:p>
      <w:r>
        <w:t>Angesichts der Normhierarchie geht die kantonale verfassungsrechtliche Regelung der gesetzlichen vor, selbst wenn es sich bei der zweiten um die jüngere handelt (vgl. BGE 143 I 272 E. 2.2.1 S. 276 und E. 2.5.4 S. 283). Die vorliegende Beschwerde ist daher wegen Nichtausschöpfung des kantonalen Rechtsmittelwegs mit Blick auf die geltend gemachte Verletzung der Gemeindeautonomie unzulässig. Analoges gilt für die übrigen erhobenen Verfassungsrügen, da sich nach der Rechtsprechung des Bundesgerichts eine Gemeinde in Verbindung mit einer Autonomiebeschwerde auch auf weitere Verfassungsrechte und -grundsätze berufen kann (vgl. BGE 139 I 169 E. 6.1 S. 172 f., mit Hinweisen; zur Publikation vorgesehenes Urteil des Bundesgerichts 1C_221/2017 vom 18. April 2018 E. 7.4.1), was wegen des Grundsatzes der Einheit des Verfahrens (vgl. Art. 111 BGG ) auch für das kantonale Verfahrensrecht gelten muss. Da die Sachurteilsvoraussetzungen von Amtes wegen zu berücksichtigen ist, spielt es keine Rolle, dass von keinem Verfahrensbeteiligten auf den formellen Mangel hingewiesen worden ist.</w:t>
      </w:r>
    </w:p>
    <w:p>
      <w:r>
        <w:rPr>
          <w:b/>
        </w:rPr>
        <w:t>E. 1.5</w:t>
      </w:r>
    </w:p>
    <w:p>
      <w:r>
        <w:t>Ist das Bundesgericht nicht zuständig, überweist es die Streitsache in der Regel an die zuständige Behörde. Im vorliegenden Fall handelt es sich dabei um das Appellationsgericht des Kantons Basel-Stadt als Verfassungsgericht. Ob die entsprechenden Sachurteilsvoraussetzungen, insbesondere die gesetzliche Beschwerdefrist gemäss § 30g VRPG, erfüllt sind, hat nicht das Bundesgericht, sondern das Appellationsgericht zu prüfen.</w:t>
      </w:r>
    </w:p>
    <w:p>
      <w:r>
        <w:rPr>
          <w:b/>
        </w:rPr>
        <w:t>E. 2</w:t>
      </w:r>
    </w:p>
    <w:p>
      <w:r>
        <w:t>Demnach ist auf die Beschwerde nicht einzutreten, und die Sache ist zur weiteren Behandlung an das Appellationsgericht des Kantons Basel-Stadt als Verfassungsgericht zu überweisen. Es sind keine Gerichtskosten zu erheben (vgl. Art. 66 Abs. 3 BGG ) und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