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637/2012 vom 27. September 2013</w:t>
      </w:r>
    </w:p>
    <w:p>
      <w:r>
        <w:t>Bundesgericht, 2013-09-27, FR</w:t>
      </w:r>
    </w:p>
    <w:p>
      <w:r>
        <w:rPr>
          <w:b/>
        </w:rPr>
        <w:t xml:space="preserve">Quelle: </w:t>
      </w:r>
      <w:r>
        <w:t>https://mcp.opencaselaw.ch/entscheid/bger_1C_637_2012</w:t>
      </w:r>
    </w:p>
    <w:p>
      <w:r>
        <w:t>FR: TF 1C 637/2012 du 27 septembre 2013</w:t>
      </w:r>
    </w:p>
    <w:p>
      <w:r>
        <w:t>IT: TF 1C 637/2012 del 27 settembre 2013</w:t>
      </w:r>
    </w:p>
    <w:p>
      <w:pPr>
        <w:pStyle w:val="Heading2"/>
      </w:pPr>
      <w:r>
        <w:t>Regeste</w:t>
      </w:r>
    </w:p>
    <w:p>
      <w:r>
        <w:t>Protection de l'environnement | Équilibre écologique</w:t>
      </w:r>
    </w:p>
    <w:p>
      <w:pPr>
        <w:pStyle w:val="Heading2"/>
      </w:pPr>
      <w:r>
        <w:t>Erwägungen</w:t>
      </w:r>
    </w:p>
    <w:p>
      <w:r>
        <w:rPr>
          <w:b/>
        </w:rPr>
        <w:t>E. 1</w:t>
      </w:r>
    </w:p>
    <w:p>
      <w:r>
        <w:t>La voie du recours en matière de droit public ( art. 82 ss LTF ) est en principe ouverte contre une décision prise par une autorité cantonale de dernière instance dans une contestation portant sur l'application du droit de la protection de l'environnement. La recourante, qui a pris part à la procédure devant le Tribunal cantonal, est particulièrement touchée par l'arrêt attaqué, qui impose le renouvellement complet de son installation et la fixation d'une valeur limite d'émission du carbone organique à 50 mg/m3. Elle dispose ainsi de la qualité pour recourir en vertu de l' art. 89 LTF .</w:t>
      </w:r>
    </w:p>
    <w:p>
      <w:r>
        <w:rPr>
          <w:b/>
        </w:rPr>
        <w:t>E. 2</w:t>
      </w:r>
    </w:p>
    <w:p>
      <w:r>
        <w:t>La recourante estime que l'état de fait de l'arrêt attaqué est incomplet.</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En l'espèce, la recourante semble reprocher à la cour cantonale de n'avoir pas reproduit dans son arrêt l'intégralité de la détermination du SEVEN du 24 janvier 2012, qui mentionnait les indications reçues de la Direction de la construction de Zurich quant aux valeurs limites imposées à cinq installations comparatives. Elle n'explique pas en quoi un complément de l'état de fait sur ce point aurait permis d'arriver à un autre résultat. Quoi qu'il en soit, le Tribunal cantonal a pris connaissance de cette pièce, qu'il a mentionnée dans son arrêt, et n'était pas tenue de la reproduire in extenso. La recourante allègue que l'arrêt cantonal doit être complété par la mention des deux mesures d'instruction qu'elle avait requises lors de l'audience du 30 mai 2012. Ces réquisitions ont été consignées dans le compte-rendu de l'audience, mais n'ont pas été reprises dans l'état de fait de l'arrêt attaqué. Ceci n'a toutefois aucune incidence sur le sort à réserver au grief de la recourante relative à une violation de son droit d'être entendue (cf. consid. 3 ci-dessous). Il n'y a donc pas lieu de compléter l'état de fait de l'arrêt attaqué, comme le souhaite la recourante. Mal fondé, le grief doit être rejeté et le Tribunal fédéral est lié par les faits retenus dans l'arrêt attaqué, conformément à l' art. 105 al. 1 LTF .</w:t>
      </w:r>
    </w:p>
    <w:p>
      <w:r>
        <w:rPr>
          <w:b/>
        </w:rPr>
        <w:t>E. 3</w:t>
      </w:r>
    </w:p>
    <w:p>
      <w:r>
        <w:t>Dans un grief d'ordre formel qu'il convient d'examiner en premier lieu, la recourante se plaint d'une violation de son droit d'être entendue. Elle reproche au Tribunal cantonal d'avoir refusé d'ordonner l'expertise qu'elle avait requise.</w:t>
      </w:r>
    </w:p>
    <w:p>
      <w:r>
        <w:rPr>
          <w:b/>
        </w:rPr>
        <w:t>E. 3.1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arrêts cités; sur la notion d'arbitraire, voir ATF 132 I 13 consid. 5.1 p. 17).</w:t>
      </w:r>
    </w:p>
    <w:p>
      <w:r>
        <w:rPr>
          <w:b/>
        </w:rPr>
        <w:t>E. 3.2</w:t>
      </w:r>
    </w:p>
    <w:p>
      <w:r>
        <w:t>En l'occurrence, le Tribunal cantonal a partiellement donné suite aux mesures d'instruction complémentaires sollicitées par la recourante, en lui octroyant la faculté de produire une déclaration écrite de la part d'un organe de B.________ indiquant si une installation d'enrobé bitumineux produite par cette société était en mesure de respecter une valeur limite moyenne horaire d'émission de carbone organique de 50 mg/m3. Il a rejeté les autres réquisitions, considérant implicitement que le dossier était suffisant et qu'une expertise n'était en particulier pas nécessaire pour élucider les questions de fait. La recourante estime au contraire qu'une expertise était indispensable pour démontrer si la VLE requise de 50 mg/m3 était réellement appliquée et applicable dans des installations similaires. A son avis, la production de recommandations ou de directives est insuffisante et il aurait fallu vérifier dans les faits que la mesure a fait ses preuves ou a été appliquée avec succès; cette preuve aurait pu être rapportée par le biais d'une expertise. Ce faisant, la recourante n'allègue ni ne démontre que le refus de donner suite à sa requête d'expertise serait arbitraire, ce qui n'apparaît pas être le cas. Le Tribunal cantonal pouvait donc s'estimer suffisamment renseigné par les écritures et les pièces au dossier et ainsi renoncer, sans violer le droit d'être entendu de la recourante, à ordonner une expertise. Mal fondé, le grief doit être rejeté.</w:t>
      </w:r>
    </w:p>
    <w:p>
      <w:r>
        <w:rPr>
          <w:b/>
        </w:rPr>
        <w:t>E. 4</w:t>
      </w:r>
    </w:p>
    <w:p>
      <w:r>
        <w:t>Au fond, la recourante considère que la fixation de la valeur à 50 mg/m3 pour le carbone organique total relève de l'arbitraire et ne respecte pas les conditions de fixation des mesures prévues par l' art. 4 OPair .</w:t>
      </w:r>
    </w:p>
    <w:p>
      <w:r>
        <w:rPr>
          <w:b/>
        </w:rPr>
        <w:t>E. 4.1</w:t>
      </w:r>
    </w:p>
    <w:p>
      <w:r>
        <w:t>La LPE a pour but de protéger les hommes contre les atteintes nuisibles ou incommodantes ( art. 1 al. 1 LPE ). Parmi celles-ci figurent les pollutions atmosphériques ( art. 7 al. 1 LPE ). Selon l' art. 11 al. 1 LPE , les pollutions atmosphériques sont limitées par des mesures prises à la source (limitation des émissions). Selon les art. 1 al. 2 et 11 al. 2 LPE, il importe, dans le cadre de la prévention, de limiter les émissions dans la mesure que le permettent l'état de la technique et les conditions d'exploitation et pour autant que cela soit économiquement supportable. Les émissions seront limitées plus sévèrement s'il appert ou s'il y a lieu de présumer que les atteintes, eu égard à la charge actuelle de l'environnement, seront nuisibles ou incommodantes ( art. 11 al. 3 LPE ). Conformément à l' art. 16 al. 1 LPE , les installations qui ne satisfont pas aux prescriptions de la loi et aux dispositions d'autres lois fédérales qui s'appliquent à la protection de l'environnement seront assainies. Une centrale d'enrobage est une installation stationnaire au sens des art. 7 al. 7 LPE et 2 al. 1 let. a OPair. Les dispositions sur la limitation préventive des émissions pour les installations stationnaires nouvelles ( art. 3, 4 et 6 OPair ) s'appliquent également aux installations existantes ( art. 7 OPair ). L' art. 3 OPair prévoit que les nouvelles installations stationnaires doivent être équipées et exploitées de manière à ce qu'elles respectent la limitation des émissions fixée aux annexes 1 à 4. Le chiffre 71 al. 1 de l'annexe 1 OPair fixe des valeurs limites d'émission pour les substances organiques sous forme de gaz, de vapeur ou de particules. Le chiffre 82 de l'annexe 1 OPair fixe des valeurs limites d'émission pour les substances cancérigènes dont le benzène et le benzo (a) pyrène. En application de l' art. 4 al. 1 OPair , lorsqu'il s'agit d'émissions pour lesquelles l'ordonnance ne contient aucune limitation ou pour lesquelles une limitation déterminée n'est pas applicable, l'autorité fixe une limitation préventive dans la mesure où cela est réalisable sur le plan de la technique et de l'exploitation, et économiquement supportable. Selon l' art. 4 al. 2 OPair , sont réalisables sur le plan de la technique et de l'exploitation les mesures permettant de limiter les émissions qui ont fait leurs preuves sur des installations comparables en Suisse ou à l'étranger (let. a) ou ont été appliquées avec succès lors d'essais et que la technique permet de transposer à d'autres installations (let. b). En vertu de l' art. 4 al. 3 OPair , pour évaluer si la limitation des émissions est économiquement supportable, on se fondera sur une entreprise moyenne, économiquement saine de la branche concernée; lorsqu'il y a dans une branche donnée des catégories très différentes d'entreprises, l'évaluation se fera à partir d'une entreprise moyenne de la catégorie correspondante.</w:t>
      </w:r>
    </w:p>
    <w:p>
      <w:r>
        <w:rPr>
          <w:b/>
        </w:rPr>
        <w:t>E. 4.2</w:t>
      </w:r>
    </w:p>
    <w:p>
      <w:r>
        <w:t>Dans le cas particulier, la recourante ne conteste pas que les substances qui composent les rejets atmosphériques provenant de son installation ne sont pas toutes de la classe 3 selon le chiffre 71 al. 1 de l'annexe 1 OPair. Par ailleurs, comme l'a relevé le SEVEN, il est en pratique difficile de mesurer séparément les centaines de substances contenues dans les émissions d'une telle installation. Dans ces conditions, il se justifie de se référer au "carbone total", qui permet d'appréhender de manière globale les émissions de substances organiques sous forme de gaz ou de vapeur. Cette manière de faire n'est pas critiquée par la recourante. Celle-ci estime en revanche que les éléments cités par le SEVEN à l'appui de sa décision ne permettent nullement de démontrer que la valeur limite imposée de 50 mg/m3 est réalisable sur le plan technique et économiquement supportable. Pour déterminer dans quelle mesure la valeur limite d'émission de 50 mg/m3est réalisable sur le plan de la technique et de l'exploitation ( art. 4 al. 2 OPair ), il est possible de se référer à des mesures qui ont fait leurs preuves sur des installations comparables en Suisse et à l'étranger ( art. 4 al. 2 let. a OPair ). Le SEVEN a ainsi produit une décision émanant du service compétent du canton de Berne, du 4 juin 2010, dans laquelle il est indiqué que les limitations des émissions selon l'annexe 1 ch. 7 et 8 sont réputées respectées, lorsque la concentration des substances organiques sous forme de gaz ou de vapeur, mesurée en carbone total, ne dépasse pas la valeur moyenne horaire de 50 mg/m3 (teneur en oxygène de référence: 17 %). Il a également produit un aide-mémoire du 10 juin 2009 de l'autorité compétente du canton de Zurich, relatif aux postes d'enrobage, qui prévoit une valeur limite d'émission de 50 mg/m3 (teneur en oxygène de référence: 17 %) lors de la préparation de matériaux recyclés (asphalte concassé). Au demeurant, selon les indications reçues de la Direction de la construction de Zurich (cf. courrier du SEVEN du 24 janvier 2012), cette valeur limite est respectée en grande majorité dans le canton (quatre sur cinq installations comparatives). Le SEVEN a également produit un extrait d'une recommandation technique émanant du ministère fédéral allemand de l'environnement, de la nature et de la sécurité nucléaire ("Bundesministerium für Umwelt, Naturschutz und Reaktorsicherheit") intitulé " Erste Allgemeine Verwaltungsvorschrift zum Bundes-Immissionsschutzgesetz (Technische Anleitung zur Reinhaltung der Luft - TA Luft) vom 24. Juli 2002 "; selon ce document, les émissions de substances organiques des postes d'enrobage existants, exprimées en carbone total, doivent être inférieures à 50 mg/m3 (teneur en oxygène de référence: 17%). Il a aussi joint les recommandations de l'association des ingénieurs allemands ("Verein deutscher Ingenieure") de février 2007 relatives à la diminution des émissions des centrales d'enrobage, intitulées " Emissionsminderung, Aufbereitungsanlagen für Asphaltmischgut (Asphalt-Mischanlagen) ", ou "VDI 2283", qui prévoient la même limitation des substances organiques, mesurées en carbone total, à 50 mg/m3 (teneur en oxygène de référence: 17%). Comme le rappelle à juste titre le Tribunal cantonal, les directives étrangères peuvent, selon la jurisprudence, être prises en considération par l'autorité compétente comme aide à la décision dans l'interprétation des normes juridiques indéterminées des art. 11 ss LPE et 4 OPair (cf. ATF 133 II 292 consid. 3.3 p. 297). Sur le vu de ce qui précède, c'est à bon droit que le Tribunal cantonal a considéré que la valeur limite d'émission pour le carbone total de 50 mg/m3 correspondait à une valeur usuellement admise dans la pratique, depuis 2002 en Allemagne et à tout le moins depuis 2007 en Suisse, comme équivalent aux valeurs fixées par le Conseil fédéral dans les annexes de l'OPair et donc comme conforme aux conditions posées aux art. 11 al. 2 et 12 LPE et 4 OPair. Elle doit ainsi être considérée comme techniquement faisable. Dans ses déterminations, l'OFEV soutient d'ailleurs la limitation préventive des émissions fixée par le SEVEN concernant le "carbone total", soulignant qu'avec la limitation de 50 mg/m 3, le canton a correctement mis en application le principe de la prévention dans le cadre de son pouvoir d'appréciation.</w:t>
      </w:r>
    </w:p>
    <w:p>
      <w:r>
        <w:rPr>
          <w:b/>
        </w:rPr>
        <w:t>E. 4.3</w:t>
      </w:r>
    </w:p>
    <w:p>
      <w:r>
        <w:t>Par ailleurs, le Tribunal cantonal ainsi que l'OFEV ont estimé que la recourante n'avait pas exposé de manière plausible que la mise en oeuvre des mesures ci-dessus n'était pas économiquement supportable. Quoi qu'il en soit, avec le Tribunal cantonal, on peut relever que cette dernière question peut rester indécise, dès lors que la valeur limite (moyenne horaire) retenue pour le carbone total de 50 mg/m3 doit être confirmée sur la base des art. 11 al. 3 LPE et 9 OPair. En effet, dans la mesure où les émissions en cause engendrent de longue date des nuisances importantes pour le voisinage proche, soit un quartier d'habitation, la population se plaignant en particulier de fortes odeurs de bitume, on peut parler d'immissions excessives au sens de l' art. 2 al. 5 let. b OPair , justifiant la prise de mesures plus sévères ( art. 9 OPair ).</w:t>
      </w:r>
    </w:p>
    <w:p>
      <w:r>
        <w:rPr>
          <w:b/>
        </w:rPr>
        <w:t>E. 4.4</w:t>
      </w:r>
    </w:p>
    <w:p>
      <w:r>
        <w:t>Partant, le Tribunal cantonal n'a pas violé la LPE ni l'OPair en confirmant la décision du SEVEN de fixer la valeur limite d'émission du carbone organique à 50 mg/m3 pour l'installation de la recourante.</w:t>
      </w:r>
    </w:p>
    <w:p>
      <w:r>
        <w:rPr>
          <w:b/>
        </w:rPr>
        <w:t>E. 5</w:t>
      </w:r>
    </w:p>
    <w:p>
      <w:r>
        <w:t>La recourante s'oppose enfin à l'exigence du SEVEN relative au renouvellement complet de l'installation, avec la construction d'une tour haute. Elle se dit prête à aménager cette tour haute, mais conteste qu'on puisse lui imposer de réaliser un ouvrage pour lequel elle n'obtiendrait pas de permis de construire, la commune ayant déjà fait savoir qu'elle refuserait une telle autorisation, qui nécessiterait l'octroi d'une dérogation au règlement communal s'agissant de la hauteur. Faute de pouvoir être réalisée juridiquement, la mesure exigée devrait être annulée. Comme l'a relevé le Tribunal cantonal, l'installation litigieuse doit faire l'objet d'un assainissement, conformément aux art. 11 LPE , 4 et 9 OPair. Ces dispositions posent diverses conditions, dont la réalisation a été admise au consid. 4 ci-dessus. Elles ne posent en revanche aucune condition en relation avec l'obtention d'un permis de construire qui relève d'une autre procédure et qui est sujette à d'autres contraintes. Le préavis négatif de la commune concernant la future demande d'autorisation de construire ne saurait dès lors invalider la décision d'assainissement du SEVEN. Ce moyen doit également être rejeté.</w:t>
      </w:r>
    </w:p>
    <w:p>
      <w:r>
        <w:rPr>
          <w:b/>
        </w:rPr>
        <w:t>E. 6</w:t>
      </w:r>
    </w:p>
    <w:p>
      <w:r>
        <w:t>Les considérants qui précèdent conduisent au rejet du recours, aux frais de la recourante qui succombe ( art. 65 et 66 al. 1 LTF ). L'arrêt attaqué doit être réformé en ce sens que le délai d'assainissement est prolongé au 15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