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1C_636/2019 vom 17. Dezember 2019</w:t>
      </w:r>
    </w:p>
    <w:p>
      <w:r>
        <w:t>Bundesgericht, 2019-12-17, DE</w:t>
      </w:r>
    </w:p>
    <w:p>
      <w:r>
        <w:rPr>
          <w:b/>
        </w:rPr>
        <w:t xml:space="preserve">Quelle: </w:t>
      </w:r>
      <w:r>
        <w:t>https://mcp.opencaselaw.ch/entscheid/bger_1C_636_2019</w:t>
      </w:r>
    </w:p>
    <w:p>
      <w:r>
        <w:t>FR: TF 1C_636/2019 du 17 décembre 2019</w:t>
      </w:r>
    </w:p>
    <w:p>
      <w:r>
        <w:t>IT: TF 1C_636/2019 del 17 dicembre 2019</w:t>
      </w:r>
    </w:p>
    <w:p>
      <w:pPr>
        <w:pStyle w:val="Heading2"/>
      </w:pPr>
      <w:r>
        <w:t>Erwägungen</w:t>
      </w:r>
    </w:p>
    <w:p>
      <w:r>
        <w:rPr>
          <w:b/>
        </w:rPr>
        <w:t>E. 1</w:t>
      </w:r>
    </w:p>
    <w:p>
      <w:r>
        <w:t>Angefochten ist ein kantonal letztinstanzlicher Entscheid in einer Bausache, gegen den die Beschwerde in öffentlich-rechtlichen Angelegenheiten an das Bundesgericht grundsätzlich offen steht (vgl. Art. 82 ff. BGG ; BGE 133 II 249 E. 1.2 S. 251; 133 II 409 E. 1.1 S. 411). Er schliesst das Verfahren allerdings nicht ab, sondern weist die Sache an die Vorinstanz zu neuem Entscheid zurück. Es handelt sich mithin um einen Zwischenentscheid, der nur unter den Voraussetzungen von Art. 93 Abs. 1 BGG angefochten werden kann, selbst wenn damit über materielle Teilaspekte der Streitsache, nicht aber über eines der Beschwerdebegehren, abschliessend befunden wird (vgl. BGE 142 II 20 E. 1.4 S. 23 f., mit Hinweisen). Nach der Rechtsprechung gelten Rückweisungsentscheide als nicht anfechtbare Zwischenentscheide, wenn der unteren Instanz noch ein eigener Entscheidungsspielraum verbleibt, d.h. die Rückweisung nicht nur der Umsetzung des oberinstanzlich Angeordneten dient ( BGE 142 II 20 E. 1.2 S. 23 f.; 134 II 124 E. 1.3 S. 127 f.; je mit Hinweisen). Es ist allerdings Sache der Beschwerdeführer, sowohl darzulegen, dass die Sachurteilsvoraussetzungen erfüllt sind, soweit das nicht offensichtlich ist ( Art. 42 Abs. 2 BGG ; BGE 133 II 249 E. 1.1; 353 E. 1), als auch, dass der angefochtene Entscheid Bundesrecht verletzt ( BGE 135 III 127 E. 1.6 S. 130; 134 II 244 E. 2.1 und 2.2 S. 245 f.; je mit Hinweisen).</w:t>
      </w:r>
    </w:p>
    <w:p>
      <w:r>
        <w:rPr>
          <w:b/>
        </w:rPr>
        <w:t>E. 2</w:t>
      </w:r>
    </w:p>
    <w:p>
      <w:r>
        <w:t>Die Beschwerdeführer bringen vor, ihre Beschwerde sei vom Verwaltungsgericht zwar teilweise gutgeheissen und die Sache zu ergänzenden Sachverhaltsabklärungen betreffend Lärmimmissionen und Neubeurteilung an die Vorinstanz zurückgewiesen worden. Die aus ihrer Sicht grundsätzlicheren Fragen, nämlich ob es sich beim Projekt um die Erweiterung einer bestehenden Deponie oder um einen Neubau handle und diese die gesetzlichen Voraussetzungen erfülle, ob die gesetzlichen Voraussetzungen für die Unterschreitung des Gewässer- und Waldabstands erfüllt seien oder ob die Erschliessung genüge, seien negativ beurteilt und im Sinne eines Teilentscheids gemäss Art. 91 Abs. 1 lit. a BGG behandelt worden. Eventuell liege ein Zwischenentscheid im Sinn von Art. 93 Abs. 1 BGG . Es drohe ein nicht wiedergutzumachender Nachteil, wenn eine Deponie in der Nähe von Wald und Gewässer gebaut werde, und es könne ein bedeutender Aufwand an Kosten und Zeit gespart werden, wenn Klarheit geschaffen werde, ob die Deponie zulässig und erschlossen sei. Subeventuell liege ein Zwischenentscheid im Sinn von Art. 93 Abs. 3 BGG vor.</w:t>
      </w:r>
    </w:p>
    <w:p>
      <w:r>
        <w:rPr>
          <w:b/>
        </w:rPr>
        <w:t>E. 3</w:t>
      </w:r>
    </w:p>
    <w:p>
      <w:r>
        <w:t>Nach Art. 91 Abs. 1 lit. a BGG ist die Beschwerde zulässig gegen einen Entscheid, der nur einen Teil der Begehren behandelt, wenn diese Begehren unabhängig von den anderen behandelt werden können. Diese Voraussetzung ist entgegen der Auffassung der Beschwerdeführer offensichtlich nicht erfüllt. Das umstrittene Deponieprojekt ist nur bewilligungsfähig, wenn auch die lärmschutzrechtlichen Vorgaben eingehalten werden. Dazu sind möglicherweise bauliche Massnahmen - z.B. die Errichtung neuer oder die Erhöhung bestehender Lärmschutzdämme - erforderlich, die ihrerseits wieder unter dem Aspekt ihrer baurechtlichen Zulässigkeit zu prüfen sein werden. Die lärmschutzrechtlichen Fragen lassen sich somit nicht unabhängig von den übrigen im Baubewilligungsverfahren relevanten Aspekten beurteilen. Der angefochtene Entscheid ist daher kein Teilentscheid im Sinn von Art. 91 lit. a BGG .</w:t>
      </w:r>
    </w:p>
    <w:p>
      <w:r>
        <w:t>Es handelt sich vielmehr um einen Zwischenentscheid, und es ist nicht ersichtlich, inwiefern den Beschwerdeführern ein nicht wiedergutzumachender Nachteil droht. Auch wenn das Verwaltungsgericht den Entscheid der Vorinstanz nicht formell aufgehoben hat, so hat es die Sache doch "zu ergänzenden Sachverhaltsabklärungen und Neubeurteilung" an diese zurückgewiesen. Es erscheint damit höchst fraglich ob die Beschwerdegegnerin überhaupt befugt wäre, mit dem Bau zu beginnen, und selbst wenn, könnten die Beschwerdeführer im neu aufzunehmenden Beschwerdeverfahren aufschiebende Wirkung beantragen, um einen aus ihrer Sicht vorzeitigen Baubeginn zu verhindern. Durch die Rückweisung entsteht auch kein "bedeutender Aufwand an Kosten und Zeit für ein weitläufiges Beweisverfahren", der allein ein ausnahmsweises Eintreten auf die Beschwerde gegen den Rückweisungsentscheid rechtfertigen könnte.</w:t>
      </w:r>
    </w:p>
    <w:p>
      <w:r>
        <w:t>Der angefochtene Entscheid ist somit kein Zwischenentscheid nach Art. 93 Abs. 1 BGG . Er fällt offenkundig auch nicht unter Abs. 2, womit schon von Gesetzes wegen ein Zwischenentscheid nach Art. 93 Abs. 3 BGG vorliegt, der Subeventualantrag ist überflüssig bzw. sinnlos.</w:t>
      </w:r>
    </w:p>
    <w:p>
      <w:r>
        <w:rPr>
          <w:b/>
        </w:rPr>
        <w:t>E. 4</w:t>
      </w:r>
    </w:p>
    <w:p>
      <w:r>
        <w:t>Auf die Beschwerde ist daher im vereinfachten Verfahren nicht einzutreten. Bei diesem Ausgang des Verfahrens werden die Beschwerdeführer kostenpflichtig ( Art. 66 Abs. 1 BGG ). Eine Parteientschädigung an die private Beschwerdegegnerin ist nicht geschuldet, da sie noch keinen erheblichen Aufwand hatte.</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