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1C_633/2022 vom 27. September 2023</w:t>
      </w:r>
    </w:p>
    <w:p>
      <w:r>
        <w:t>Bundesgericht, 2023-09-27, DE</w:t>
      </w:r>
    </w:p>
    <w:p>
      <w:r>
        <w:rPr>
          <w:b/>
        </w:rPr>
        <w:t xml:space="preserve">Quelle: </w:t>
      </w:r>
      <w:r>
        <w:t>https://mcp.opencaselaw.ch/entscheid/bger_1C_633_2022</w:t>
      </w:r>
    </w:p>
    <w:p>
      <w:r>
        <w:t>FR: TF 1C_633/2022 du 27 septembre 2023</w:t>
      </w:r>
    </w:p>
    <w:p>
      <w:r>
        <w:t>IT: TF 1C_633/2022 del 27 settembre 2023</w:t>
      </w:r>
    </w:p>
    <w:p>
      <w:pPr>
        <w:pStyle w:val="Heading2"/>
      </w:pPr>
      <w:r>
        <w:t>Erwägungen</w:t>
      </w:r>
    </w:p>
    <w:p>
      <w:r>
        <w:rPr>
          <w:b/>
        </w:rPr>
        <w:t>E. 1</w:t>
      </w:r>
    </w:p>
    <w:p>
      <w:r>
        <w:t>Der Beschwerdeführer erhebt in einer einzigen Eingabe Beschwerde gegen zwei Entscheide. Dieses Vorgehen ist grundsätzlich zulässig, falls die Rechtsschrift den Anforderungen von Art. 42 BGG genügt (vgl. Urteil 5A_146/2023 vom 23. Mai 2023 E. 1.1.1). Bei beiden angefochtenen Urteilen handelt es sich um kantonal letztinstanzliche Endentscheide in einer Bausache. Dagegen steht die Beschwerde in öffentlich-rechtlichen Angelegenheit grundsätzlich offen ( Art. 82 lit. a, Art. 86 Abs. 1 lit. d und Art. 90 BGG ). Ein Ausnahmegrund nach Art. 83 BGG liegt nicht vor. Der Beschwerdeführer hat an beiden vorinstanzlichen Verfahren teilgenommen und ist mit seinen Anträgen unterlegen. Als Baugesuchsteller und zur Wiederherstellung des bewilligten Zustands Verpflichteter ist er zur Beschwerde legitimiert ( Art. 89 Abs. 1 BGG ).</w:t>
      </w:r>
    </w:p>
    <w:p>
      <w:r>
        <w:t>Die übrigen Sachurteilsvoraussetzungen geben zu keinen Bemerkungen Anlass. Auf die Beschwerde ist einzutreten.</w:t>
      </w:r>
    </w:p>
    <w:p>
      <w:r>
        <w:rPr>
          <w:b/>
        </w:rPr>
        <w:t>E. 2</w:t>
      </w:r>
    </w:p>
    <w:p>
      <w:r>
        <w:t>Der Beschwerdeführer rügt eine Verletzung seines Anspruchs auf ein faires Verfahren ( Art. 29 Abs. 1 BV ) und auf rechtliches Gehör ( Art. 29 Abs. 2 BV ) im Zusammenhang mit der Frage der Zuständigkeit der Baubehörde. Er machte vor der Vorinstanz erstmals geltend, die Abteilung Hochbau und Planung sei nicht zuständig gewesen, über die Baugesuche und die Wiederherstellung des rechtmässigen Zustands zu entscheiden.</w:t>
      </w:r>
    </w:p>
    <w:p>
      <w:r>
        <w:rPr>
          <w:b/>
        </w:rPr>
        <w:t>E. 2.1</w:t>
      </w:r>
    </w:p>
    <w:p>
      <w:r>
        <w:t>Fehlerhafte Verwaltungsakte sind in aller Regel nicht nichtig, sondern bloss anfechtbar, und sie erwachsen dementsprechend durch Nichtanfechtung in Rechtskraft. Nichtigkeit eines Entscheids ist nach ständiger bundesgerichtlicher Rechtsprechung nur anzunehmen, wenn der ihm anhaftende Mangel besonders schwer ist, wenn er offensichtlich oder zumindest leicht erkennbar ist und zudem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147 IV 93 E. 1.4.4; 145 III 436 E. 4; 138 II 501 E. 3.1; je mit Hinweisen).</w:t>
      </w:r>
    </w:p>
    <w:p>
      <w:r>
        <w:rPr>
          <w:b/>
        </w:rPr>
        <w:t>E. 2.2</w:t>
      </w:r>
    </w:p>
    <w:p>
      <w:r>
        <w:t>Aus dem Anspruch auf rechtliches Gehör ( Art. 29 Abs. 2 BV )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 136 I 229 E. 5.2; je mit Hinweisen).</w:t>
      </w:r>
    </w:p>
    <w:p>
      <w:r>
        <w:rPr>
          <w:b/>
        </w:rPr>
        <w:t>E. 2.3</w:t>
      </w:r>
    </w:p>
    <w:p>
      <w:r>
        <w:t>Die Vorinstanz prüfte die Rüge des Beschwerdeführers im angefochtenen Urteil VB.2022.00058 lediglich unter dem Blickwinkel der Nichtigkeit. Sie gelangte dabei offenbar zum Schluss, die Erstinstanz sei zum Erlass der Verfügung vom 6. September 2021 nicht zuständig gewesen, verneinte jedoch einen offensichtlichen bzw. leicht erkennbaren Mangel im Sinne der bundesgerichtlichen Rechtsprechung. Obschon die Verfügung vom 6. September 2021 nicht in formelle Rechtskraft erwachsen ist, äusserte sich die Vorinstanz mit keinem Wort zur Frage der Anfechtbarkeit bzw. zu den Motiven, die sie allenfalls dazu bewogen haben, diesen Aspekt nicht weiter zu vertiefen (vgl. hingegen Urteil VB.2021.00575 des Verwaltungsgerichts des Kantons Zürich vom 8. Juni 2022 E. 2.2 und 2.4). Damit war es dem Beschwerdeführer nicht möglich, sich über die Tragweite des Entscheids hinreichend Rechenschaft zu geben, woraus eine Verletzung seines Gehörsanspruchs resultiert.</w:t>
      </w:r>
    </w:p>
    <w:p>
      <w:r>
        <w:t>Entscheide, die der Beschwerde an das Bundesgericht unterliegen, haben zudem die massgebenden Gründe tatsächlicher und rechtlicher Art zu enthalten ( Art. 112 Abs. 1 lit. b BGG ). Dies ist vorliegend mit Bezug auf die Frage der Unzuständigkeit und deren allfälligen Rechtsfolgen nicht der Fall, weshalb das Bundesgericht die korrekte Rechtsanwendung durch die Vorinstanz nicht prüfen kann (vgl. BGE 135 II 145 E. 8.2; Urteil 1C_485/2022 vom 21. April 2023 E. 4.2 ff. mit Hinweisen).</w:t>
      </w:r>
    </w:p>
    <w:p>
      <w:r>
        <w:rPr>
          <w:b/>
        </w:rPr>
        <w:t>E. 2.4</w:t>
      </w:r>
    </w:p>
    <w:p>
      <w:r>
        <w:t>Im angefochtenen Urteil VB.2022.00041 finden sich keinerlei Ausführungen zur Frage der Zuständigkeit der Abteilung Hochbau und Planung für die Bewilligung des nachträglichen Baugesuchs und den Erlass der Wiederherstellungsverfügung, obschon der Beschwerdeführer die Rüge in beiden Verfahren erhoben hat. Der Hinweis im Urteil VB.2022.00058 auf die im Parallelverfahren ebenfalls geltend gemachte Nichtigkeit vermag der Begründungspflicht bereits aus den vorgenannten Gründen offensichtlich nicht zu genügen.</w:t>
      </w:r>
    </w:p>
    <w:p>
      <w:r>
        <w:rPr>
          <w:b/>
        </w:rPr>
        <w:t>E. 2.5</w:t>
      </w:r>
    </w:p>
    <w:p>
      <w:r>
        <w:t>Damit erweist sich die Beschwerde als begründet. Sie ist gutzuheissen, die angefochtenen Entscheide sind aufzuheben und beide Angelegenheiten zur Neubeurteilung an die Vorinstanz zurückzuweisen. Diese wird sich in beiden Verfahren erneut mit der Frage der Unzuständigkeit der Abteilung Hochbau und Planung sowie deren Rechtsfolgen auseinandersetzen müssen. Das Ergebnis hat sie alsdann hinreichend zu begründen.</w:t>
      </w:r>
    </w:p>
    <w:p>
      <w:r>
        <w:rPr>
          <w:b/>
        </w:rPr>
        <w:t>E. 3</w:t>
      </w:r>
    </w:p>
    <w:p>
      <w:r>
        <w:t>Da die Beschwerde bereits aus formellen Gründen gutzuheissen ist, erübrigt sich eine Auseinandersetzung mit den materiellen Rügen des Beschwerdeführers.</w:t>
      </w:r>
    </w:p>
    <w:p>
      <w:r>
        <w:t>Die Rückweisung mit offenem Ausgang gilt praxisgemäss als Obsiegen des Beschwerdeführers, weshalb diesem keine Gerichtskosten aufzuerlegen sind ( Art. 66 Abs. 1 BGG ; BGE 141 V 281 E. 11.1). Ebenfalls keine Kostenpflicht trifft den Kanton bzw. die Gemeinde ( Art. 66 Abs. 4 BGG ). Letztere hat dem Beschwerdeführer jedoch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