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632/2020 vom 19. Oktober 2021</w:t>
      </w:r>
    </w:p>
    <w:p>
      <w:r>
        <w:t>Bundesgericht, 2021-10-19, DE</w:t>
      </w:r>
    </w:p>
    <w:p>
      <w:r>
        <w:rPr>
          <w:b/>
        </w:rPr>
        <w:t xml:space="preserve">Quelle: </w:t>
      </w:r>
      <w:r>
        <w:t>https://mcp.opencaselaw.ch/entscheid/bger_1C_632_2020</w:t>
      </w:r>
    </w:p>
    <w:p>
      <w:r>
        <w:t>FR: TF 1C 632/2020 du 19 octobre 2021</w:t>
      </w:r>
    </w:p>
    <w:p>
      <w:r>
        <w:t>IT: TF 1C 632/2020 del 19 ottobre 2021</w:t>
      </w:r>
    </w:p>
    <w:p>
      <w:pPr>
        <w:pStyle w:val="Heading2"/>
      </w:pPr>
      <w:r>
        <w:t>Regeste</w:t>
      </w:r>
    </w:p>
    <w:p>
      <w:r>
        <w:t>Führerausweisentzug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offen. Der Beschwerdeführer ist als Inhaber des entzogenen Führerausweises und Adressat des angefochtenen Urteils nach Art. 89 Abs. 1 BGG zur Beschwerde befugt. Die übrigen Sachurteilsvoraussetzungen geben zu keinen Bemerkungen Anlass und sind erfüllt, weshalb auf die Beschwerde einzutreten ist.</w:t>
      </w:r>
    </w:p>
    <w:p>
      <w:r>
        <w:rPr>
          <w:b/>
        </w:rPr>
        <w:t>E. 2.1</w:t>
      </w:r>
    </w:p>
    <w:p>
      <w:r>
        <w:t>Mit dem angefochtenen Urteil bestätigte die Vorinstanz den Entscheid des Strassenverkehrsamts, dem Beschwerdeführer den Führerausweis wegen einer mittelschweren Widerhandlung gegen die Strassenverkehrsvorschriften im Sinne von Art. 16b Abs. 1 lit. a SVG für die Dauer eines Monats zu entziehen.</w:t>
      </w:r>
    </w:p>
    <w:p>
      <w:r>
        <w:rPr>
          <w:b/>
        </w:rPr>
        <w:t>E. 2.2</w:t>
      </w:r>
    </w:p>
    <w:p>
      <w:r>
        <w:t>Das Gesetz unterscheidet zwischen der leichten, mittelschweren und schweren Widerhandlung gegen die Strassenverkehrsvorschriften ( Art. 16a-c SVG ). Gemäss Art. 16a SVG begeht eine leichte Widerhandlung, wer durch Verletzung von Verkehrsregeln eine geringe Gefahr für die Sicherheit anderer hervorruft und ihn dabei nur ein leichtes Verschulden trifft (Abs. 1 lit. a). Eine mittelschwere Widerhandlung begeht, wer durch Verletzung von Verkehrsregeln eine Gefahr für die Sicherheit anderer hervorruft oder in Kauf nimmt ( Art. 16b Abs. 1 lit. a SVG ). Gemäss Art. 16c Abs. 1 lit. a SVG begeht eine schwere Widerhandlung, wer durch grobe Verletzung von Verkehrsregeln eine ernstliche Gefahr für die Sicherheit anderer hervorruft oder in Kauf nimmt.</w:t>
      </w:r>
    </w:p>
    <w:p>
      <w:r>
        <w:rPr>
          <w:b/>
        </w:rPr>
        <w:t>E. 2.3</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leichten Widerhandlung kumulativ eine geringe Gefahr und ein geringes Verschulden voraus ( BGE 135 II 138 E. 2.2.2 f.). Bei einer schweren Widerhandlung muss kumulativ eine qualifizierte objektive Gefährdung und ein qualifiziertes Verschulden gegeben sein. Ist die Gefährdung gering, aber das Verschulden hoch, oder umgekehrt die Gefährdung hoch und das Verschulden gering, liegt eine mittelschwere Widerhandlung vor (vgl. zum Ganzen: BGE 136 II 447 E. 3.2; Urteil 1C_334/2019 vom 11. Februar 2020 E. 3.1 mit Hinweisen).</w:t>
      </w:r>
    </w:p>
    <w:p>
      <w:r>
        <w:rPr>
          <w:b/>
        </w:rPr>
        <w:t>E. 2.4</w:t>
      </w:r>
    </w:p>
    <w:p>
      <w:r>
        <w:t>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Urteil 1C_334/2019 vom 11. Februar 2020 E. 3.1 mit Hinweis).</w:t>
      </w:r>
    </w:p>
    <w:p>
      <w:r>
        <w:rPr>
          <w:b/>
        </w:rPr>
        <w:t>E. 3</w:t>
      </w:r>
    </w:p>
    <w:p>
      <w:r>
        <w:t>Der Beschwerdeführer bestreitet nicht, eine Widerhandlung gegen die Strassenverkehrsvorschriften begangen und verschuldet zu haben. Er macht aber sinngemäss geltend, die Widerhandlung sei nicht als mittelschwer, sondern als leicht einzustufen. Damit rügt er sinngemäss eine Verletzung von Art. 16a Abs. 1 lit. a und Art. 16b Abs. 1 lit. a SVG .</w:t>
      </w:r>
    </w:p>
    <w:p>
      <w:r>
        <w:rPr>
          <w:b/>
        </w:rPr>
        <w:t>E. 3.1</w:t>
      </w:r>
    </w:p>
    <w:p>
      <w:r>
        <w:t>Der Beschwerdeführer bringt vor, sein Verschulden sei als gering einzustufen. Im Sinne der früheren bundesgerichtlichen Rechtsprechung dürfe die Grösse der Gefährdung nicht unabhängig von der Höhe des Verschuldens beurteilt werden. Die vom Beschwerdeführer erwähnte Rechtsprechung ( BGE 125 II 561 ) bezog sich auf eine Bestimmung der Verkehrszulassungsverordnung vom 27. Oktober 1976 (VZV; SR 741.51), die mit der Revision des Strassenverkehrsrechts geändert wurde, und überholt ist ( BGE 135 II 138 E. 2.2.3). Gründe, weshalb die überholte Rechtsprechung, die auf einer früheren, ausser Kraft getretenen gesetzlichen Grundlage beruhte, vorliegend anzuwenden sei, werden vom Beschwerdeführer nicht genannt und sind nicht erkennbar. Vielmehr müssten für die Annahme einer leichten Widerhandlung im Sinne von Art. 16a Abs. 1 lit. a SVG kumulativ die Voraussetzungen vorhanden sein, dass der Beschwerdeführer als Lenker eine geringe Gefahr für die Sicherheit anderer hervorgerufen hat und ihn ein leichtes Verschulden trifft (vgl. E. 2.3 hiervor). Die Vorinstanz hat dem Beschwerdeführer im angefochtenen Urteil kein hohes Verschulden attestiert. Auf die Ausführungen des Beschwerdeführers, wonach sein Verschulden gering sei, ist somit nicht näher einzugehen.</w:t>
      </w:r>
    </w:p>
    <w:p>
      <w:r>
        <w:rPr>
          <w:b/>
        </w:rPr>
        <w:t>E. 3.2</w:t>
      </w:r>
    </w:p>
    <w:p>
      <w:r>
        <w:t>Der Beschwerdeführer bringt weiter vor, die Gefährdung des Verkehrs sei nicht gravierend gewesen. Wie die Polizeifotos belegen würden, sei das Verkehrsaufkommen sehr gering gewesen. Die Annahme einer erheblichen abstrakten Gefährdung sei nicht gerechtfertigt. Die A52 sei auf der ganzen Länge richtungsgetrennt mit Leitplanken. Eine Gefährdung des Gegenverkehrs sei somit praktisch ausgeschlossen gewesen. Der Umstand, dass ihn ein überholender Autofahrer mit Hupe und Lichtsignal gewarnt habe, zeige, dass das fehlende Rad für andere Verkehrsteilnehmer sehr leicht erkennbar gewesen sei und dass überholende bzw. nachfolgende Fahrzeuge ein allenfalls schwankendes Fahrzeug ohne weiteres hätten erkennen und reagieren können. Das Statthalteramt sei im Strafbefehl vom 19. Februar 2020 ebenfalls nicht von einer relevanten Verkehrsgefährdung ausgegangen. Wie die Vorinstanz im angefochtenen Urteil ausführte, enthielt der Strafbefehl keine Tatsachenfeststellungen und keine rechtliche Würdigung zur Frage, ob das Verhalten des Beschwerdeführers eine hohe abstrakte oder konkrete Gefährdung nach sich zog. Damit war diese Frage vom Strassenverkehrsamt im Administrativverfahren bzw. von den Rechtsmittelbehörden frei zu prüfen (vgl. BGE 139 II 95 E. 3.2; 136 II 447 E. 3.1; je mit Hinweisen). Nachdem der einachsige, mit einem Motorboot beladene Anhänger des Beschwerdeführers ein Rad verloren hatte, fuhr der Beschwerdeführer auf der A52 mit einer Geschwindigkeit von ungefähr 80 km/h noch mehr als vier Kilometer Richtung Zürich. Wie die Vorinstanz zu Recht erwogen hat, stellte das Abfallen eines Rads eine Gefahr für nachfolgende Fahrzeuge dar und bestand ausserdem die Möglichkeit, dass der Anhänger ausschert oder kippt und nachfolgende oder überholende Fahrzeuge gefährdet. Die Einschätzung der Vorinstanz, wonach der Beschwerdeführer nicht nur eine geringe, sondern eine ernstliche (konkrete oder abstrakte) Gefahr für die Sicherheit anderer hervorgerufen oder in Kauf genommen hat, ist nicht zu beanstanden. Die Einwände des Beschwerdeführers ändern daran nichts.</w:t>
      </w:r>
    </w:p>
    <w:p>
      <w:r>
        <w:rPr>
          <w:b/>
        </w:rPr>
        <w:t>E. 3.3</w:t>
      </w:r>
    </w:p>
    <w:p>
      <w:r>
        <w:t>Weil der Beschwerdeführer durch sein Verhalten nicht bloss eine geringe, sondern eine erhebliche Gefahr für die Sicherheit Dritter verursacht hat, hat er - wenn man ihm wie die Vorinstanzen kein schweres Verschulden attestieren will - eine mittelschwere Widerhandlung gegen die Strassenverkehrsvorschriften im Sinne von Art. 16b Abs. 1 lit. a SVG begangen. Damit war der Führerausweis dem Beschwerdeführer für mindestens einen Monat zu entziehen (vgl. Art. 16b Abs. 2 lit. a i.V.m. Art. 16 Abs. 3 Satz 2 SVG ).</w:t>
      </w:r>
    </w:p>
    <w:p>
      <w:r>
        <w:rPr>
          <w:b/>
        </w:rPr>
        <w:t>E. 4</w:t>
      </w:r>
    </w:p>
    <w:p>
      <w:r>
        <w:t>Nach dem Ausgeführten ist die Beschwerde abzuweisen. Bei diesem Verfahrensausgang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