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1C_631/2018 vom 29. November 2018</w:t>
      </w:r>
    </w:p>
    <w:p>
      <w:r>
        <w:t>Bundesgericht, 2018-11-29, DE</w:t>
      </w:r>
    </w:p>
    <w:p>
      <w:r>
        <w:rPr>
          <w:b/>
        </w:rPr>
        <w:t xml:space="preserve">Quelle: </w:t>
      </w:r>
      <w:r>
        <w:t>https://mcp.opencaselaw.ch/entscheid/bger_1C_631_2018</w:t>
      </w:r>
    </w:p>
    <w:p>
      <w:r>
        <w:t>FR: TF 1C_631/2018 du 29 novembre 2018</w:t>
      </w:r>
    </w:p>
    <w:p>
      <w:r>
        <w:t>IT: TF 1C_631/2018 del 29 novembre 2018</w:t>
      </w:r>
    </w:p>
    <w:p>
      <w:pPr>
        <w:pStyle w:val="Heading2"/>
      </w:pPr>
      <w:r>
        <w:t>Erwägungen</w:t>
      </w:r>
    </w:p>
    <w:p>
      <w:r>
        <w:rPr>
          <w:b/>
        </w:rPr>
        <w:t>E. 1</w:t>
      </w:r>
    </w:p>
    <w:p>
      <w:r>
        <w:t>A.________ reichte bei der Staatsanwaltschaft See/Oberland gegen vier Polizeibeamte der Kantonspolizei Zürich wegen eines Vorfalls vom 6. April 2018 Strafanzeige wegen Amtsmissbrauchs, Körperverletzung und Sachbeschädigung ein. Gemäss einem Polizeirapport zu diesem Vorfall hat die Kantonspolizei im Auftrag der KESB Linth bei A.________ im Zusammenhang mit seiner Tochter F.________ eine Wohnungskontrolle durchgeführt. Dabei sei A.________ festgenommen worden, da er sich der Wohnungskontrolle widersetzt und die Herausgabe des Wohnungsschlüssels verweigert habe. Die Staatsanwaltschaft See/Oberland überwies die Akten mit Verfügung vom 13. September 2018 an das Obergericht des Kantons Zürich zum Entscheid über die Erteilung bzw. Nichterteilung der Ermächtigung zur Durchführung einer Strafuntersuchung. Die III. Strafkammer des Obergerichts des Kantons Zürich erteilte mit Beschluss vom 30. Oktober 2018 die Ermächtigung zum Entscheid über die Untersuchungseröffnung bzw. Nichtanhandnahme des Strafverfahrens nicht. Sie führte zur Begründung zusammenfassend aus, dass weder die Wohnungskontrolle selbst, noch die Behändigung der Schlüssel unter Anwendung von unmittelbarem Zwang und der Fesselung unrechtmässig gewesen sei. Die dokumentierten Verletzungen und die angebliche Beschädigung der Uhr liessen sich ohne Weiteres auf die gewaltsame Gegenwehr des Anzeigers zurückführen. Dieser mache sodann nicht geltend, die Angezeigten hätten das erlaubte Mass an Zwang überschritten oder übermässige Gewalt angewendet. Für ein strafbares Verhalten seien keine Anhaltspunkte ersichtlich.</w:t>
      </w:r>
    </w:p>
    <w:p>
      <w:r>
        <w:rPr>
          <w:b/>
        </w:rPr>
        <w:t>E. 2</w:t>
      </w:r>
    </w:p>
    <w:p>
      <w:r>
        <w:t>A.________ führt mit Eingabe vom 26. November 2018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III. Strafkammer nicht auseinander und vermag mit seinen Ausführungen nicht aufzuzeigen, dass in rechtswidriger Weise das Vorliegen eines deliktsrelevanten Sachverhalts verneint worden wäre. Aus der Beschwerde ergibt sich nicht, inwiefern die Begründung der III. Strafkammer, die zur Verweigerung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