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631/2014 vom 20. März 2015</w:t>
      </w:r>
    </w:p>
    <w:p>
      <w:r>
        <w:t>Bundesgericht, 2015-03-20, FR</w:t>
      </w:r>
    </w:p>
    <w:p>
      <w:r>
        <w:rPr>
          <w:b/>
        </w:rPr>
        <w:t xml:space="preserve">Quelle: </w:t>
      </w:r>
      <w:r>
        <w:t>https://mcp.opencaselaw.ch/entscheid/bger_1C_631_2014</w:t>
      </w:r>
    </w:p>
    <w:p>
      <w:r>
        <w:t>FR: TF 1C 631/2014 du 20 mars 2015</w:t>
      </w:r>
    </w:p>
    <w:p>
      <w:r>
        <w:t>IT: TF 1C 631/2014 del 20 marzo 2015</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d'un mois; il a un intérêt digne de protection à son annulation. Il a donc qualité pour recourir au sens de l' art. 89 al. 1 LTF . Les autres conditions de recevabilité du recours sont réunies, de sorte qu'il convient d'entrer en matière.</w:t>
      </w:r>
    </w:p>
    <w:p>
      <w:r>
        <w:rPr>
          <w:b/>
        </w:rPr>
        <w:t>E. 2</w:t>
      </w:r>
    </w:p>
    <w:p>
      <w:r>
        <w:t>Le recourant se plaint d'une constatation erronée des faits et d'une violation de son droit d'être entendu ( art. 6 CEDH et 29 al. 2 Cst.; droit à la preuve). La cour cantonale aurait, selon lui, dû s'écarter du jugement pénal et retenir que le conducteur circulant sur la voie de gauche a accéléré lors de la manoeuvre de dépassement; la responsabilité de l'accident lui serait dès lors exclusivement imputable. Le recourant fait dans ce cadre grief au Tribunal cantonal de n'avoir pas fait droit à sa requête tendant à la mise en oeuvre d'une expertise dynamique judiciaire.</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2.2</w:t>
      </w:r>
    </w:p>
    <w:p>
      <w:r>
        <w:t>La cour cantonale a estimé que le recourant, avocat de profession, ne pouvait méconnaître le principe de la double procédure pénale et administrative applicable en matière d'infraction à la LCR, ce d'autant moins qu'il avait été avisé, avant l'échéance du délai d'opposition à l'ordonnance pénale, que le SAN envisageait de prononcer un retrait d'admonestation à son encontre. Il appartenait au recourant, sous peine de forclusion, de faire valoir ses moyens dans le cadre de la procédure pénale, tout particulièrement s'agissant de la question de l'accélération du conducteur circulant sur la voie de gauche. A cet égard, le recourant affirme qu'il aurait été "parfaitement illusoire" de requérir de l'autorité pénale inférieure l'administration d'une preuve à décharge, sous la forme d'une expertise dynamique, puisqu'il ne disposait alors pas encore d'éléments matériels confirmant ses dires. Ce n'est qu'ultérieurement à la clôture de cette procédure qu'il aurait été en mesure de contester les faits, lorsque le dossier photographique constitué par l'assureur de l'autre conducteur lui a été remis; la cour cantonale lui aurait dès lors à tort reproché de ne pas avoir agi sur le plan pénal. On ne saurait suivre le recourant dans cette voie. Par ses suppositions, il feint d'ignorer les garanties procédurales offertes par le code de procédure pénale suisse (CPP; RS 312.0), spécialement s'agissant de l'administration des preuves et du droit d'être entendu (cf. art. 107 al. 1 let. b et e et 147 CPP). Il perd ainsi de vue qu'il lui aurait été loisible, dans ce cadre, de requérir des mesures d'instruction, dont, par exemple, la production du dossier de l'assureur tiers (cf. art. 192 ss CPP ), et le cas échéant, la mise en oeuvre d'une expertise technique (cf. art. 182 ss CPP ). Par ailleurs, le recourant pouvait, avant d'obtenir le dossier du tiers assureur et contrairement à ce qu'il affirme, confronter sa version des faits à des éléments matériels directement disponibles, à savoir les dommages et traces présents sur son véhicule. Ce n'est pourtant qu'au stade du recours cantonal qu'il en a fait état. Dans ces circonstances, faute pour le recourant de s'être opposé à l'ordonnance pénale, il n'était plus possible de revenir sur les faits constatés dans le rapport de police. Il découle de ce qui précède que le Tribunal cantonal n'a pas violé le droit fédéral en jugeant que l'autorité administrative était liée par l'état de fait retenu par le juge pénal. Il n'a en particulier pas lésé le droit d'être entendu du recourant en ne procédant pas à une nouvelle administration des preuves, plus singulièrement en renonçant à la mise en oeuvre d'une expertise judiciaire dynamique. Ces griefs doivent dès lors être rejetés.</w:t>
      </w:r>
    </w:p>
    <w:p>
      <w:r>
        <w:rPr>
          <w:b/>
        </w:rPr>
        <w:t>E. 2.3</w:t>
      </w:r>
    </w:p>
    <w:p>
      <w:r>
        <w:t>Pour le surplus, le recourant ne critique pas réellement la qualification de l'infraction opérée par l'instance précédente sur la base des faits établis. Quoiqu'il en soit, au vu de ces circonstances, la cour cantonale n'a pas violé le droit fédéral en confirmant que le recourant avait commis une infraction moyennement grave ( art. 16b al. 1 let. a LCR ) en ne respectant pas les règles de prudence imposées par les art. 34 al. 3 et 44 al. 1 LCR, lors de sa manoeuvre de dépassement (cf. arrêt 6B_10/2011 du 29 mars 2011 consid. 2.2, résumé in ROTH/FIOLKA, Strassenverkehrsrechts-Tagung: 14.-15. Juni 2012, n. 154 p. 367; BUSSY/RUSCONI, Code suisse de la circulation routière, Lausanne 1996, n. 5.2.1 ad. art. 44 LCR ; au sujet de la qualification de l'infraction, cf. ATF 136 II 447 consid. 3.2 p. 451 s. et les arrêts cités).</w:t>
      </w:r>
    </w:p>
    <w:p>
      <w:r>
        <w:rPr>
          <w:b/>
        </w:rPr>
        <w:t>E. 3</w:t>
      </w:r>
    </w:p>
    <w:p>
      <w:r>
        <w:t>Sur le vu de ce qui précède, le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