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1C_630/2025 vom 27. März 2026</w:t>
      </w:r>
    </w:p>
    <w:p>
      <w:r>
        <w:t>Bundesgericht, 2026-03-27, DE</w:t>
      </w:r>
    </w:p>
    <w:p>
      <w:r>
        <w:rPr>
          <w:b/>
        </w:rPr>
        <w:t xml:space="preserve">Quelle: </w:t>
      </w:r>
      <w:r>
        <w:t>https://mcp.opencaselaw.ch/entscheid/bger_1C_630_2025</w:t>
      </w:r>
    </w:p>
    <w:p>
      <w:r>
        <w:t>FR: TF 1C_630/2025 du 27 mars 2026</w:t>
      </w:r>
    </w:p>
    <w:p>
      <w:r>
        <w:t>IT: TF 1C_630/2025 del 27 marzo 2026</w:t>
      </w:r>
    </w:p>
    <w:p>
      <w:pPr>
        <w:pStyle w:val="Heading2"/>
      </w:pPr>
      <w:r>
        <w:t>Erwägungen</w:t>
      </w:r>
    </w:p>
    <w:p>
      <w:r>
        <w:rPr>
          <w:b/>
        </w:rPr>
        <w:t>E. 1.1</w:t>
      </w:r>
    </w:p>
    <w:p>
      <w:r>
        <w:t>Angefochten ist ein Endentscheid ( Art. 90 BGG ) in Angelegenheiten des öffentlichen Rechts, der nicht unter den Ausnahmenkatalog von Art. 83 BGG fällt, weshalb die Beschwerde in öffentlich-rechtlichen Angelegenheiten grundsätzlich offen steht ( Art. 82 BGG ). Da die Vorinstanz mit dem angefochtenen Entscheid auf ihre Beschwerde ohne materielle Eventualbegründung nicht eingetreten ist, kann die Beschwerdeführerin vor Bundesgericht nur das Nichteintreten anfechten. Ist die Beschwerde begründet, weist das Bundesgericht die Sache zur weiteren Beurteilung des Falles zurück. Andernfalls hat es mit dem vorinstanzlichen Nichteintretensentscheid sein Bewenden (vgl. BGE 144 II 184 E. 1.1 = Pra 2018 Nr. 142 S. 1342). Auf die verschiedenen Anträge in der Sache sowie den Antrag auf eine materielle Prüfung der Sache durch das Bundesgericht kann daher von vornherein nicht eingetreten werden.</w:t>
      </w:r>
    </w:p>
    <w:p>
      <w:r>
        <w:rPr>
          <w:b/>
        </w:rPr>
        <w:t>E. 1.2</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namentlich, soweit die Verletzung von Grundrechten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2</w:t>
      </w:r>
    </w:p>
    <w:p>
      <w:r>
        <w:t>Die Beschwerde genügt den Rügeerfordernissen offensichtlich nicht. Das Nichteintreten wurde von der Vorinstanz damit begründet, dass es zulässig war, einen Kostenvorschuss zu erheben, und dass dieser innert Frist nicht bezahlt wurde. Die Beschwerdeführerin bringt dagegen einzig vor, dass es sich bei ihrer Beschwerde um eine Stimmrechtssache handle, weshalb sie unter das Kostenprivileg von Art. 108a Abs. 1 VRPG/BE falle (dieser lautet: "Im Beschwerdeverfahren in kommunalen Wahl- und Abstimmungssachen werden vorbehältlich mutwilliger oder leichtfertiger Prozessführung keine Verfahrenskosten erhoben."). Weder legt sie dar, noch ist ersichtlich, weshalb es sich um eine Stimmrechtssache handeln soll. Weiter führt sie nicht aus, inwiefern die Vorinstanz die angerufenen Grundrechte verletzen soll, indem sie einen Kostenvorschuss verlangt, wenn gemäss ihrer vorläufigen Einschätzung die Anwendbarkeit von Art. 108a Abs. 1 VRPG/BE zweifelhaft erscheint. In Bezug auf den Ablauf der Frist macht die Beschwerdeführerin keine Ausführungen, bestreitet jedoch nicht, den Kostenvorschuss nicht bezahlt zu haben. Offenbar ging sie von der unzutreffenden Annahme aus, die Zahlung des geforderten Kostenvorschusses hätte ihre angebliche Stimmrechtsbeschwerde "verfahrenstechnisch automatisch in eine Baubeschwerde umgewandelt", wie sie schreibt.</w:t>
      </w:r>
    </w:p>
    <w:p>
      <w:r>
        <w:t>Auch soweit die Beschwerdeführerin Ausstandsgründe gegen verschiedene Richter und Behördenmitglieder geltend macht, bleibt ihre Beschwerde unsubstanziiert (vgl. Art. 106 Abs. 2 BGG ; vorne E. 1.2). Namentlich betreffen diese Vorbringen nicht den Einzelrichter, der das angefochtene Urteil gefällt hat. Inwiefern Befangenheitsgründe einer allfälligen Rückweisung an die Vorinstanz entgegenstehen sollen, legt sie nicht rechtsgenüglich dar und ist nicht ersichtlich. Auch bleibt unklar, weshalb es in diesem Zusammenhang problematisch sein soll, dass sich das angefochtene Urteil auch auf Passagen einer Kommentierung des VRPG/BE stützt, die der in Ausstand getretene Verwaltungsrichter Daum verfasst hat. Ohnehin verlangt die Beschwerdeführerin in erster Linie bloss, dass eine Verletzung von Art. 30 BV und Art. 6 EMRK festgestellt werde, ohne darzulegen und ohne dass ersichtlich wäre, inwieweit sie daran ein schutzwürdiges Interesse haben soll (vgl. Art. 89 Abs. 1 lit. c BGG ).</w:t>
      </w:r>
    </w:p>
    <w:p>
      <w:r>
        <w:t>Damit genügt die Beschwerde den Begründungsanforderungen offensichtlich nicht, weshalb im vereinfachten Verfahren nach Art. 108 Abs. 1 BGG auf sie nicht einzutreten ist.</w:t>
      </w:r>
    </w:p>
    <w:p>
      <w:r>
        <w:rPr>
          <w:b/>
        </w:rPr>
        <w:t>E. 3</w:t>
      </w:r>
    </w:p>
    <w:p>
      <w:r>
        <w:t>Bei diesem Verfahrensausgang ist die Beschwerdeführerin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