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630/2022 vom 25. Juli 2023</w:t>
      </w:r>
    </w:p>
    <w:p>
      <w:r>
        <w:t>Bundesgericht, 2023-07-25, FR</w:t>
      </w:r>
    </w:p>
    <w:p>
      <w:r>
        <w:rPr>
          <w:b/>
        </w:rPr>
        <w:t xml:space="preserve">Quelle: </w:t>
      </w:r>
      <w:r>
        <w:t>https://mcp.opencaselaw.ch/entscheid/bger_1C_630_2022</w:t>
      </w:r>
    </w:p>
    <w:p>
      <w:r>
        <w:t>FR: TF 1C 630/2022 du 25 juillet 2023</w:t>
      </w:r>
    </w:p>
    <w:p>
      <w:r>
        <w:t>IT: TF 1C 630/2022 del 25 luglio 2023</w:t>
      </w:r>
    </w:p>
    <w:p>
      <w:pPr>
        <w:pStyle w:val="Heading2"/>
      </w:pPr>
      <w:r>
        <w:t>Regeste</w:t>
      </w:r>
    </w:p>
    <w:p>
      <w:r>
        <w:t>Retrait du permis de conduire | Construction des routes et circulation routière</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en principe recevable.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Il doit exister un lien entre la motivation du recours et la décision attaquée; le recourant ne peut se contenter de reprendre presque mot pour mot l'argumentation formée devant l'autorité cantonale ( ATF 145 V 161 consid. 5.2; 139 I 306 consid. 1.2).</w:t>
      </w:r>
    </w:p>
    <w:p>
      <w:r>
        <w:rPr>
          <w:b/>
        </w:rPr>
        <w:t>E. 3</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 Le recourant ne démontre par ailleurs pas en quoi les éléments de fait qu'il avance auraient une incidence sur l'issue du litige.</w:t>
      </w:r>
    </w:p>
    <w:p>
      <w:r>
        <w:rPr>
          <w:b/>
        </w:rPr>
        <w:t>E. 4</w:t>
      </w:r>
    </w:p>
    <w:p>
      <w:r>
        <w:t>Le recourant semble reprocher à la cour cantonale d'avoir insuffisamment motivé son grief relatif à un défaut de motivation suffisante de la décision initiale de retrait du permis de conduire. Il se plaint d'une violation du droit d'être entendu ( art. 29 al. 2 Cst. ).</w:t>
      </w:r>
    </w:p>
    <w:p>
      <w:r>
        <w:rPr>
          <w:b/>
        </w:rPr>
        <w:t>E. 4.1</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w:t>
      </w:r>
    </w:p>
    <w:p>
      <w:r>
        <w:rPr>
          <w:b/>
        </w:rPr>
        <w:t>E. 4.2</w:t>
      </w:r>
    </w:p>
    <w:p>
      <w:r>
        <w:t>En l'espèce, le Tribunal cantonal a considéré que la décision sur recours du SCAN mentionnait les observations du recourant du 2 novembre 2021, se référait au jugement du Tribunal de police du 10 janvier 2020 et décrivait précisément l'infraction retenue; de plus le SCAN avait déposé des observations sur recours à propos desquelles le recourant pouvait se déterminer, ce qu'il n'avait pas fait. La cour cantonale a ajouté que le SCAN avait pris en considération les observations du recourant et expliqué les motifs pour lesquels elles n'étaient pas pertinentes, si bien que celui-ci avait pu se rendre compte de la portée de sa décision et exercer son droit de recours à bon escient.</w:t>
      </w:r>
    </w:p>
    <w:p>
      <w:r>
        <w:rPr>
          <w:b/>
        </w:rPr>
        <w:t>E. 4.3</w:t>
      </w:r>
    </w:p>
    <w:p>
      <w:r>
        <w:t>Face à la motivation de la cour cantonale, le recourant fait uniquement valoir que le fait que le SCAN a déposé des observations sur recours "ultérieurement à la reddition de sa décision et postérieurement au recours" n'est pas pertinent et ne saurait exonérer l'autorité de première instance de motiver convenablement sa décision. Pour autant qu'on la comprenne, cette remarque ne saurait être suivie dans la mesure où l'autorité qui a rendu une décision est systématiquement appelée à se déterminer dans la procédure de recours. Sous l'angle d'une potentielle violation du droit d'être entendu, cela pourrait permettre de la réparer lorsque la partie lésée a la possibilité de s'exprimer devant une autorité de recours jouissant, comme en l'espèce, d'un pouvoir d'examen complet en fait et en droit ( ATF 145 I 167 consid. 4.4 et les références). Par ailleurs, en tant qu'il s'en prend à la décision initiale de retrait de permis, le recourant perd de vue que le recours cantonal a un plein effet dévolutif; il s'ensuit que sa critique dirigée contre la décision de retrait de permis du 4 janvier 2022 - et non contre l'arrêt attaqué - doit être déclarée irrecevable (cf. ATF 136 II 101 consid. 1.2; arrêt 1C_30/2017 du 21 avril 2017 consid. 3.3). Le grief de violation du droit d'être entendu doit donc être écarté, dans la faible mesure de sa recevabilité.</w:t>
      </w:r>
    </w:p>
    <w:p>
      <w:r>
        <w:rPr>
          <w:b/>
        </w:rPr>
        <w:t>E. 5</w:t>
      </w:r>
    </w:p>
    <w:p>
      <w:r>
        <w:t>Le recourant prétend qu'il n'a pas commis de faute grave au sens de l' art. 16c LCR . Il soutient que, si une faute devait lui être imputée, elle devrait être qualifiée de particulièrement légère au sens de l' art. 16a al. 4 LCR .</w:t>
      </w:r>
    </w:p>
    <w:p>
      <w:r>
        <w:rPr>
          <w:b/>
        </w:rPr>
        <w:t>E. 5.1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et les arrêts cités).</w:t>
      </w:r>
    </w:p>
    <w:p>
      <w:r>
        <w:rPr>
          <w:b/>
        </w:rPr>
        <w:t>E. 5.2</w:t>
      </w:r>
    </w:p>
    <w:p>
      <w:r>
        <w:t>Commet une infraction grave selon l' art. 16c al. 1 let. a LCR la personne qui, en violant gravement les règles de la circulation routière, met sérieusement en danger la sécurité d'autrui ou en prend le risque. Conformément à l' art. 16c al. 2 let. a LCR , le permis de conduire est retiré pour trois mois au minimum après une infraction grave. D'un point de vue objectif, il y a création d'un danger sérieux pour la sécurité d'autrui au sens de l' art. 16c al. 1 let. a LCR non seulement en cas de mise en danger concrète, mais déjà en cas de mise en danger abstraite accrue; la réalisation d'un tel danger s'examine en fonction des circonstances spécifiques du cas d'espèce (arrêt 1C_436/2019 du 30 septembre 2019 consid. 2.1). Sur le plan subjectif, l' art. 16c al. 1 let. a LCR , dont la portée est identique à celle de l' art. 90 ch. 2 LCR , exige un comportement sans scrupules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Dans un tel cas, il faut toutefois faire preuve de retenue. Une négligence grossière ne peut être admise que si l'absence de prise de conscience du danger créé pour autrui est particulièrement blâmable - notamment en méconnaissant un risque clair - ou repose elle-même sur une absence de scrupules. Plus la violation de la règle de la circulation est objectivement grave, plus on admettra l'existence d'une absence de scrupules, sauf indice particulier permettant de retenir le contraire ( ATF 142 IV 93 consid. 3.1; arrêt 1C_436/2019 du 30 septembre 2019 consid. 2.1 et les références citées).</w:t>
      </w:r>
    </w:p>
    <w:p>
      <w:r>
        <w:rPr>
          <w:b/>
        </w:rPr>
        <w:t>E. 5.3</w:t>
      </w:r>
    </w:p>
    <w:p>
      <w:r>
        <w:t>En l'occurrence, au niveau des faits, il a été retenu sur le plan pénal que l'analyse du fichier informatique concernant le lieu de l'accident avait montré que le système des feux fonctionnait une dizaine de minutes avant l'accident et que la croix rouge était allumée sur la piste de gauche, si bien que l'intéressé aurait dû rester derrière le camion qu'il souhaitait dépasser; depuis 6h10 le signal était au rouge à l'endroit de l'accident survenu à 6h21. Les instances pénales ont considéré comme établi que la signalisation lumineuse fonctionnait au moment de l'accident. Le recourant ne conteste pas que ces faits constituent une violation de l' art. 27 al. 1 LCR (à teneur duquel chacun se conformera aux signaux et aux marques) et de l' art. 31 al. 1 LCR (selon lequel le conducteur devra rester constamment maître de son véhicule de façon à pouvoir se conformer aux devoirs de la prudence).</w:t>
      </w:r>
    </w:p>
    <w:p>
      <w:r>
        <w:rPr>
          <w:b/>
        </w:rPr>
        <w:t>E. 5.4</w:t>
      </w:r>
    </w:p>
    <w:p>
      <w:r>
        <w:t>Le Tribunal cantonal a relevé que le recourant prétendait n'avoir pas vu les signaux: dans ces circonstances, soit il n'avait pas fait preuve de l'attention accrue qu'exigeait la situation, soit il avait eu une inattention particulièrement grave, puisqu'il n'avait pas vu les panneaux indiquant le chantier et la croix rouge qui fermait la voie de gauche de l'autoroute, sans quoi il n'aurait pas dépassé le camion en se déportant sur ladite voie. Pour l'instance précédente, compte tenu des bonnes conditions de visibilité qui permettaient au recourant de remarquer la signalisation et du fait qu'il circulait sur l'autoroute - ce qui exigeait une attention particulière de la part du conducteur -, l'inattention imputée à l'intéressé était lourde et constituait une négligence grossière, ce qui suffisait pour qualifier l'infraction de grave, malgré l'absence d'antécédents, de conduite sous l'effet de l'alcool (ou d'autres substances) et de vitesse excessive; la signalisation lumineuse n'était pas défectueuse puisque la croix rouge était allumée sur la piste de gauche, ce qui impliquait que l'automobiliste n'aurait pas dû se déporter sur cette piste pour dépasser un camion; le recourant ne saurait dès lors invoquer l'urgence de la situation et son caractère inattendu puisque, s'il avait respecté la signalisation, il ne se serait pas trouvé dans cette position.</w:t>
      </w:r>
    </w:p>
    <w:p>
      <w:r>
        <w:rPr>
          <w:b/>
        </w:rPr>
        <w:t>E. 5.5</w:t>
      </w:r>
    </w:p>
    <w:p>
      <w:r>
        <w:t>Face à cette argumentation détaillée, le recourant se contente, de manière appellatoire, de répéter les arguments - qu'il a déjà fait valoir devant la cour cantonale et auxquels celle-ci a répondu. Il reprend parfois mot pour mot l'argumentation formée devant la cour cantonale, tant sur le plan de la faute grave que sur celui de l'absence de maîtrise du véhicule. Son grief doit par conséquent être déclaré irrecevable, faute de motivation. Au demeurant, l'argumentation de la cour cantonale ne prête pas le flanc à la critique et peut être confirmée. Dans ces circonstances, le Tribunal cantonal n'a en effet pas violé le droit fédéral en retenant que le recourant avait commis une infraction grave au sens de l' art. 16c al. 1 let. a LCR . Pour le surplus, le recourant ne conteste pas que, dans cette hypothèse, son permis de conduire devait lui être retiré pour une durée de trois mois en application de l' art. 16c al. 2 let. a LCR , s'agissant de la durée minimale pour une infraction grave.</w:t>
      </w:r>
    </w:p>
    <w:p>
      <w:r>
        <w:rPr>
          <w:b/>
        </w:rPr>
        <w:t>E. 6</w:t>
      </w:r>
    </w:p>
    <w:p>
      <w:r>
        <w:t>Le recourant fait enfin valoir une violation du principe de la célérité ( art. 29 al. 1 Cst. ), au motif que la décision de retrait de permis est intervenue plus de 5 ans et demi après les faits reprochés.</w:t>
      </w:r>
    </w:p>
    <w:p>
      <w:r>
        <w:rPr>
          <w:b/>
        </w:rPr>
        <w:t>E. 6.1</w:t>
      </w:r>
    </w:p>
    <w:p>
      <w:r>
        <w:t>L' 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En matière de circulation routière, la durée minimale du retrait de permis de conduire ne peut en principe pas être abaissée en raison d'une violation du droit d'être jugé dans un délai raisonnable ancré aux art. 29 al. 1 Cst. et 6 par. 1 CEDH ( ATF 135 II 334 consid. 2.2). Le Tribunal fédéral a toutefois réservé les cas où cette durée était gravement dépassée, de sorte que la mesure de retrait aurait perdu tout effet éducatif ou d'amendement ( ATF 135 II 334 consid. 2.3).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(arrêt 1C_190/2018 du 21 août 2018 consid. 5.1).</w:t>
      </w:r>
    </w:p>
    <w:p>
      <w:r>
        <w:rPr>
          <w:b/>
        </w:rPr>
        <w:t>E. 6.2</w:t>
      </w:r>
    </w:p>
    <w:p>
      <w:r>
        <w:t>En l'espèce, si une violation du principe de la célérité a été reconnue pour la procédure pénale, la procédure administrative a quant à elle été menée sans retard après le jugement pénal du Tribunal fédéral du 31 mars 2021 (contrairement aux affaires 1C_190/2018 du 21 août 2018 et 1C_192/2013 du 9 janvier 2014, dans lesquelles la procédure administrative n'avait pas été menée avec célérité). Le SCAN a en effet rendu sa décision un peu plus de huit mois après l'entrée en force du jugement pénal, après avoir donné l'occasion au recourant de déposer des observations. S'ajoute à cela que le recourant a lui-même demandé la suspension de la procédure administrative jusqu'à droit connu sur le plan pénal. Cela n'empêche pas que la durée totale de la procédure - depuis les faits incriminés jusqu'à l'arrêt du Tribunal fédéral - s'élève à sept ans. Une telle durée contrevient au principe de la célérité. Avec le Tribunal cantonal, il y a cependant lieu de constater que la durée de la procédure jusqu'à la décision administrative est inférieure à six ans (7 juillet 2016 - 4 janvier 2022) et ne dépasse pas les limites temporelles exposées dans la jurisprudence du Tribunal fédéral. L'effet dissuasif de la mesure paraît toujours d'actualité. En d'autres termes, l'exécution de la mesure prévue par la loi n'est pas dénuée d'effet éducatif, malgré la durée de la procédure. Le grief de violation du principe de la célérité doit ainsi être écarté.</w:t>
      </w:r>
    </w:p>
    <w:p>
      <w:r>
        <w:rPr>
          <w:b/>
        </w:rPr>
        <w:t>E. 7</w:t>
      </w:r>
    </w:p>
    <w:p>
      <w:r>
        <w:t>Il s'ensuit que le recours doit par conséquent être rejeté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