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62/2015 vom 9. November 2015</w:t>
      </w:r>
    </w:p>
    <w:p>
      <w:r>
        <w:t>Bundesgericht, 2015-11-09, DE</w:t>
      </w:r>
    </w:p>
    <w:p>
      <w:r>
        <w:rPr>
          <w:b/>
        </w:rPr>
        <w:t xml:space="preserve">Quelle: </w:t>
      </w:r>
      <w:r>
        <w:t>https://mcp.opencaselaw.ch/entscheid/bger_1C_62_2015</w:t>
      </w:r>
    </w:p>
    <w:p>
      <w:r>
        <w:t>FR: TF 1C 62/2015 du 9 novembre 2015</w:t>
      </w:r>
    </w:p>
    <w:p>
      <w:r>
        <w:t>IT: TF 1C 62/2015 del 9 novembre 2015</w:t>
      </w:r>
    </w:p>
    <w:p>
      <w:pPr>
        <w:pStyle w:val="Heading2"/>
      </w:pPr>
      <w:r>
        <w:t>Regeste</w:t>
      </w:r>
    </w:p>
    <w:p>
      <w:r>
        <w:t>Baubewilligung; Renaturierungsprojekt Bächlipark | Ökologisches Gleichgewicht</w:t>
      </w:r>
    </w:p>
    <w:p>
      <w:pPr>
        <w:pStyle w:val="Heading2"/>
      </w:pPr>
      <w:r>
        <w:t>Erwägungen</w:t>
      </w:r>
    </w:p>
    <w:p>
      <w:r>
        <w:rPr>
          <w:b/>
        </w:rPr>
        <w:t>E. 1</w:t>
      </w:r>
    </w:p>
    <w:p>
      <w:r>
        <w:t>Gegen den kantonal letztinstanzlichen Endentscheid des Verwaltungsgerichts steht die Beschwerde in öffentlich-rechtlichen Angelegenheiten offen ( Art. 82 lit. a, Art. 86 Abs. 1 lit. d und Art. 90 BGG ). Nach der bundesgerichtlichen Rechtsprechung ist die Beschwerdeführerin als Nachbarin zur Beschwerde berechtigt ( Art. 89 Abs. 1 BGG ; vgl. Urteile 1C_87/2012 vom 27. November 2012 E. 1.1 und 1C_440/2014 vom 23. Juli 2015 E. 1). Da auch die übrigen Sachurteilsvoraussetzungen erfüllt sind, ist auf die Beschwerde grundsätzlich einzutreten.</w:t>
      </w:r>
    </w:p>
    <w:p>
      <w:r>
        <w:rPr>
          <w:b/>
        </w:rPr>
        <w:t>E. 2</w:t>
      </w:r>
    </w:p>
    <w:p>
      <w:r>
        <w:t>Gegenstand des vorliegenden Verfahrens bilden die Festlegung des Gewässerraums und die Frage der Hochwassersicherheit. Mit dem am 1. Januar 2011 in Kraft getretenen Art. 36a GSchG (SR 814.20) werden die Kantone verpflichtet, nach Anhörung der betroffenen Kreise den Raumbedarf der oberirdischen Gewässer festzulegen, welcher für die Gewährleistung der natürlichen Funktionen der Gewässer, den Schutz vor Hochwasser und die Gewässernutzung erforderlich ist. Die Kantone sorgen dafür, dass der Gewässerraum bei der Richt- und Nutzungsplanung berücksichtigt sowie extensiv gestaltet und bewirtschaftet wird. Gemäss Art. 41a GSchV (SR 814.20) muss die Breite des Gewässerraums für Fliessgewässer mit einer Gerinnesohle von weniger als 2 m natürlicher Breite mindestens 11 m betragen ( Art. 41a Abs. 2 lit. a GSchV ). Die Breite des Gewässerraums muss erhöht werden, soweit dies erforderlich ist zur Gewährleistung des Schutzes vor Hochwasser oder des für eine Revitalisierung erforderlichen Raums ( Art. 41a Abs. 3 lit. a und b GSchV ). Die Breite des Gewässerraums kann in dicht überbauten Gebieten den baulichen Gegebenheiten angepasst werden, soweit der Schutz vor Hochwasser gewährleistet ist ( Art. 41 a Abs. 4 GSchV ).</w:t>
      </w:r>
    </w:p>
    <w:p>
      <w:r>
        <w:rPr>
          <w:b/>
        </w:rPr>
        <w:t>E. 3.1</w:t>
      </w:r>
    </w:p>
    <w:p>
      <w:r>
        <w:t>Es ist unbestritten, dass der Gestaltungsplan Bächlipark in Rechtskraft erwachsen ist. Die Beschwerdeführerin erachtet den Gestaltungsplan indes als nichtig, zumindest soweit dieser den Gewässerraum festlege. Sie bringt vor, gestützt auf Art. 41 Abs. 2 lit. a GSchV müsse die Breite des Gewässerraums vorliegend mindestens 11 m betragen. Diese Mindestbreite sei im Gestaltungsplan unbestrittenermassen an mehreren Stellen klar unterschritten. Der Gewässerraum sei stellenweise lediglich 7 m breit. Eine solche Unterschreitung sei jedoch gemäss Art. 41 Abs. 4 GSchV lediglich in dicht überbauten Gebieten zur Anpassung an die baulichen Gegebenheiten zulässig, soweit zusätzlich der Schutz vor Hochwasser gewährleistet sei. Das Gestaltungsplangebiet liege am südlichen Rand und damit an der Peripherie des Siedlungsgebiets der Gemeinde Wollerau. Die Annahme dicht überbauten Gebiets rechtfertige sich bei einer mittelgrossen Gemeinde wie Wollerau mit etwas mehr als 7'000 Einwohnern höchstens im Kern des Siedlungsgebiets. Hinzu komme, dass die Frage des Hochwasserschutzes im Gestaltungsplanverfahren in Widerspruch zu Art. 41 Abs. 4 GSchV nicht geprüft worden, sondern ins Baubewilligungsverfahren verschoben worden sei. Dies verletze zudem das Koordinationsgebot gemäss Art. 25a RPG (SR 700).</w:t>
      </w:r>
    </w:p>
    <w:p>
      <w:r>
        <w:rPr>
          <w:b/>
        </w:rPr>
        <w:t>E. 3.2</w:t>
      </w:r>
    </w:p>
    <w:p>
      <w:r>
        <w:t>Die Nichtigkeit eines Nutzungsplans kann jederzeit geltend gemacht werden und ist von sämtlichen Instanzen von Amtes wegen zu beachten ( BGE 115 Ia 1 E. 3 S. 4). Analog zu Verfügungen kann die Nichtigkeit eines Gestaltungsplans nur angenommen werden, wenn er mit einem tiefgreifenden und wesentlichen Mangel behaftet ist, wenn dieser schwerwiegende Mangel offensichtlich oder zumindest leicht erkennbar ist und wenn zudem die Rechtssicherheit durch die Annahme der Nichtigkeit nicht ernsthaft gefährdet wird. Als Nichtigkeitsgründe fallen hauptsächlich funktionelle und sachliche Unzuständigkeit einer Behörde sowie schwerwiegende Verfahrensfehler in Betracht. Inhaltliche Mängel haben hingegen nur in seltenen Ausnahmefällen die Nichtigkeit zur Folge; erforderlich ist hierzu ein ausserordentlich schwerwiegender Mangel (vgl. zum Ganzen BGE 137 I 273 E. 3.1 S. 275). Im zu beurteilenden Fall stellt sich die Frage, ob - wie die Beschwerdeführerin behauptet - mit dem Gestaltungsplan Art. 41a GSchV auf offensichtliche und besonders schwerwiegende Art und Weise verletzt worden ist.</w:t>
      </w:r>
    </w:p>
    <w:p>
      <w:r>
        <w:rPr>
          <w:b/>
        </w:rPr>
        <w:t>E. 3.3</w:t>
      </w:r>
    </w:p>
    <w:p>
      <w:r>
        <w:t>Die Vorinstanz hat erwogen, es sei kein Nichtigkeitsgrund ersichtlich. Es sei rechtlich vertretbar gewesen, im Gestaltungsplanverfahren von einem dicht überbauten Gebiet auszugehen. Beim Gestaltungsplangebiet handle es sich um eine ehemalige überbaute Industriezone mit kanalisierten und eingedolten Gewässern, und die nördliche, östliche und südliche Umgebung des Gebiets sei weitgehend überbaut. Des Weiteren liege keine Verletzung des Koordinationsgebots gemäss Art. 25a RPG vor. Im Übrigen hätte die Beschwerdeführerin eine ungenügende Koordination innerhalb der Sondernutzungsplanung bereits im Gestaltungsplanverfahren rügen müssen.</w:t>
      </w:r>
    </w:p>
    <w:p>
      <w:r>
        <w:rPr>
          <w:b/>
        </w:rPr>
        <w:t>E. 3.4</w:t>
      </w:r>
    </w:p>
    <w:p>
      <w:r>
        <w:t>Das BAFU teilt im Ergebnis die Auffassung der Vorinstanz. Es hat zusammenfassend gefolgert, der Bauperimeter sei mehrheitlich von bebautem Gebiet umgeben, und er sei bereits vorher überbaut gewesen. Demzufolge sei es jedenfalls nicht offensichtlich unrichtig, von einem dicht überbauten Gebiet i.S.v. Art. 41a Abs. 4 GSchV auszugehen.</w:t>
      </w:r>
    </w:p>
    <w:p>
      <w:r>
        <w:rPr>
          <w:b/>
        </w:rPr>
        <w:t>E. 3.5</w:t>
      </w:r>
    </w:p>
    <w:p>
      <w:r>
        <w:t>Die Ausführungen der Vorinstanz und des BAFU sind zutreffend. Die kommunalen und kantonalen Instanzen haben unter ausdrücklicher Bezugnahme auf die gesetzlichen Grundlagen ( Art. 36a GSchG und Art. 41a GSchV ) und die bundesgerichtliche Rechtsprechung ( BGE 140 II 428 E. 7 S. 434 f.) gefolgert, es handle sich um dicht überbautes Gebiet. Dieser Schluss ist zumindest vertretbar und erweist sich nicht als offensichtlich unrichtig. Der Gestaltungsplan leidet nicht an einem besonders schwerwiegenden inhaltlichen Mangel. Nicht zu beanstanden sind auch die Erwägungen der Vorinstanz zur Koordinationspflicht gemäss Art. 25a RPG (zum Verhältnis Sondernutzungsplanung / Baubewilligungsverfahren vgl. Arnold Marti, in: Aemisegger/Kuttler/Moor/Ruch (Hrsg.), Kommentar RPG, 2009, Art. 25a N. 44). Jedenfalls haben sich die zuständigen Behörden im Gestaltungsplanverfahren keine schwerwiegenden Verfahrensfehler zu Schulden kommen lassen. Klarstellend ist insoweit festzuhalten, dass die Frage der Hochwassersicherheit in Bezug auf die geplante Umlegung des Krebs- und Sihleggbachs bereits im Gestaltungsplanverfahren im Rahmen des technischen Berichts untersucht wurde und die festgesetzten Gewässerräume auf ein 100-jährliches Hochwasserereignis (HQ100) ausgerichtet wurden (vgl. Bericht zum Gestaltungsplan Bächlipark, S. 35). Der Vorbehalt des Nachweises des Hochwasserschutzes im Baubewilligungsverfahren bezieht sich auf die mit der Renaturierung verbundenen baulichen Massnahmen. Der Gestaltungsplan Bächlipark ist damit nicht nichtig.</w:t>
      </w:r>
    </w:p>
    <w:p>
      <w:r>
        <w:rPr>
          <w:b/>
        </w:rPr>
        <w:t>E. 4.1</w:t>
      </w:r>
    </w:p>
    <w:p>
      <w:r>
        <w:t>Die Beschwerdeführerin macht weiter geltend, falls das Bundesgericht zum Schluss komme, dass der Gestaltungsplan nicht nichtig sei, unterstehe dieser jedenfalls einer akzessorischen Überprüfung. Mit dem Gestaltungsplan sei der Nachweis der Hochwassersicherheit noch nicht erbracht worden. Die Beschwerdeführerin betont, sie sei erst mit der Einsicht ins Renaturierungsprojekt in die Lage versetzt worden, die Auswirkungen der Festlegung des Gewässerraums im Gestaltungsplan zu überprüfen.</w:t>
      </w:r>
    </w:p>
    <w:p>
      <w:r>
        <w:rPr>
          <w:b/>
        </w:rPr>
        <w:t>E. 4.2</w:t>
      </w:r>
    </w:p>
    <w:p>
      <w:r>
        <w:t>Die akzessorische Überprüfung eines Nutzungsplans im Rahmen eines Baubewilligungsverfahrens ist nur dann zulässig, wenn sich die betroffene Person beim Planerlass noch nicht über die ihr auferlegten Beschränkungen Rechenschaft geben konnte und sie im damaligen Zeitpunkt keine Möglichkeit hatte, ihre Interessen zu verteidigen ( BGE 119 Ib 480 E. 5c S. 486), oder wenn sich die tatsächlichen oder rechtlichen Verhältnisse seit Annahme des Plans wesentlich geändert haben ( BGE 127 I 103 E. 6b S. 105 f.).</w:t>
      </w:r>
    </w:p>
    <w:p>
      <w:r>
        <w:rPr>
          <w:b/>
        </w:rPr>
        <w:t>E. 4.3</w:t>
      </w:r>
    </w:p>
    <w:p>
      <w:r>
        <w:t>Die Vorinstanz hat geschlossen, es lägen keine veränderten rechtlichen oder tatsächlichen Verhältnisse seit Annahme des Gestaltungsplans vor, die eine akzessorische Überprüfung rechtfertigen könnten.</w:t>
      </w:r>
    </w:p>
    <w:p>
      <w:r>
        <w:rPr>
          <w:b/>
        </w:rPr>
        <w:t>E. 4.4</w:t>
      </w:r>
    </w:p>
    <w:p>
      <w:r>
        <w:t>Das BAFU teilt in seiner Vernehmlassung an das Bundesgericht diese Einschätzung der Vorinstanz.</w:t>
      </w:r>
    </w:p>
    <w:p>
      <w:r>
        <w:rPr>
          <w:b/>
        </w:rPr>
        <w:t>E. 4.5</w:t>
      </w:r>
    </w:p>
    <w:p>
      <w:r>
        <w:t>Im Gestaltungsplanverfahren wurden die revidierten gewässerschutzrechtlichen Bestimmungen von Art. 36a GSchG und Art. 41a GSchV angewendet. Die Rechtslage hat sich seit Annahme des Gestaltungsplan nicht verändert. Gleiches gilt in Bezug auf die tatsächlichen Verhältnisse. Die Beschwerdeführerin hätte die im Gestaltungsplan verbindlich festgelegte Unterschreitung der gesetzlichen Mindestbreite der Gewässerräume aufgrund der Annahme eines dicht überbauten Gebiets bereits zum Zeitpunkt des Erlasses des Gestaltungsplans anfechten können und auch müssen. Für eine akzessorische Überprüfung des Gestaltungsplans im Rahmen des Baubewilligungsverfahrens bleibt daher kein Raum.</w:t>
      </w:r>
    </w:p>
    <w:p>
      <w:r>
        <w:rPr>
          <w:b/>
        </w:rPr>
        <w:t>E. 5</w:t>
      </w:r>
    </w:p>
    <w:p>
      <w:r>
        <w:t>Es liegt somit ein rechtskräftiger Gestaltungsplan vor, welcher nicht nichtig ist und welcher keiner akzessorischen Überprüfung unterzogen werden kann. Im Baubewilligungsverfahren zulässig sind (einzig) Rügen, die die Gestaltungsplankonformität des Renaturierungsprojekts und die Umsetzung der bei der Genehmigung des Gestaltungsplans gemachten Vorbehalte wie jener der Gewährleistung der Hochwassersicherheit betreffen.</w:t>
      </w:r>
    </w:p>
    <w:p>
      <w:r>
        <w:rPr>
          <w:b/>
        </w:rPr>
        <w:t>E. 5.1</w:t>
      </w:r>
    </w:p>
    <w:p>
      <w:r>
        <w:t>Die Beschwerdeführerin rügt, der Nachweis der Hochwassersicherheit sei mit dem Baugesuch nicht erbracht worden. Es genüge nicht, ein Projekt vorzulegen, welches den Hochwasserschutz bloss verbessere. Selbst wenn die Schwachstellen ausserhalb des Gestaltungsplangebiets lägen, so wirkten sich diese unzweifelhaft auf das Gestaltungsgebiet aus.</w:t>
      </w:r>
    </w:p>
    <w:p>
      <w:r>
        <w:rPr>
          <w:b/>
        </w:rPr>
        <w:t>E. 5.2</w:t>
      </w:r>
    </w:p>
    <w:p>
      <w:r>
        <w:t>Die Vorinstanz erachtet die Hochwassersicherheit als gewährleistet, auch wenn ausserhalb des Projektgebiets weiterhin Hochwasserschutzprobleme bestünden.</w:t>
      </w:r>
    </w:p>
    <w:p>
      <w:r>
        <w:rPr>
          <w:b/>
        </w:rPr>
        <w:t>E. 5.3</w:t>
      </w:r>
    </w:p>
    <w:p>
      <w:r>
        <w:t>Das BAFU ist in seiner Vernehmlassung an das Bundesgericht zum gleichen Schluss gekommen. Das vom Kanton Schwyz in der Naturgefahrenstrategie gegen Überschwemmung und Erosion festgelegte Schutzziel (geschlossene Siedlung, Schutzziel HQ100) könne durch die im Projekt vorgeschlagenen Hochwasserschutzmassnahmen innerhalb des vorgegebenen Gewässerraums erreicht werden. Die Abflussprofile und Brückendurchlässe seien genügend gesichert und gross genug dimensioniert, um ein 100-jährliches Hochwasserereignis inklusive genügend Freibord schadlos und ein 300-jährliches Ereignis bordvoll abzuführen. Dies bestätige die Gefahrenkarte nach Ausführung der Massnahmen deutlich. Hochwasserschutzdefizite am Krebsbach, welche unmittelbar unterhalb des Projektperimeters bei der Brücke Roosstrasse/Rütibüelweg bestünden, müssten grundsätzlich nicht durch das Projekt gelöst werden. Da diese Schwachstelle (zu geringe Durchflusskapazität) aber durch einen Rückstaueffekt zu Überschwemmungen von unten her bis in das Projektgebiet führen könne, seien das Abflussprofil und die Durchflusskapazität der untersten Brücke im Projektgebiet zusätzlich auf dieses Szenario dimensioniert und entsprechend erhöht worden.</w:t>
      </w:r>
    </w:p>
    <w:p>
      <w:r>
        <w:rPr>
          <w:b/>
        </w:rPr>
        <w:t>E. 5.4</w:t>
      </w:r>
    </w:p>
    <w:p>
      <w:r>
        <w:t>Die kantonalen Fachbehörden und das BAFU haben dargelegt, weshalb ihres Erachtens die Hochwassersicherheit mit dem Renaturierungsprojekt gewährleistet ist. Für das Bundesgericht besteht kein Anlass von dieser Einschätzung der Fachbehörden abzuweichen, zumal die Beschwerdeführerin insoweit keine substanziellen Rügen erhebt.</w:t>
      </w:r>
    </w:p>
    <w:p>
      <w:r>
        <w:rPr>
          <w:b/>
        </w:rPr>
        <w:t>E. 6</w:t>
      </w:r>
    </w:p>
    <w:p>
      <w:r>
        <w:t>Die Beschwerde ist abzuweisen. Mit dem Entscheid in der Sache wird das Gesuch der Beschwerdeführerin um aufschiebende Wirkung gegenstandslos. Die Gerichtskosten sind der unterliegenden Beschwerdeführerin aufzuerlegen ( Art. 66 Abs. 1 BGG ). Diese hat die anwaltlich vertretene Beschwerdegegnerin angemessen zu entschädigen ( Art. 68 Abs. 1 und 2 BGG ). Der in ihrem amtlichen Wirkungskreis obsiegenden Gemeinde ist dagegen keine Parteientschädigung zuzusprechen ( Art. 68 Abs. 3 BGG sowie BGE 134 II 117 E. 7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