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1C_62/2011 vom 8. Februar 2011</w:t>
      </w:r>
    </w:p>
    <w:p>
      <w:r>
        <w:t>Bundesgericht, 2011-02-08, FR</w:t>
      </w:r>
    </w:p>
    <w:p>
      <w:r>
        <w:rPr>
          <w:b/>
        </w:rPr>
        <w:t xml:space="preserve">Quelle: </w:t>
      </w:r>
      <w:r>
        <w:t>https://mcp.opencaselaw.ch/entscheid/bger_1C_62_2011</w:t>
      </w:r>
    </w:p>
    <w:p>
      <w:r>
        <w:t>FR: TF 1C_62/2011 du 8 février 2011</w:t>
      </w:r>
    </w:p>
    <w:p>
      <w:r>
        <w:t>IT: TF 1C_62/2011 del 8 febbraio 2011</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bancaire de trois comptes déterminés, le cas ne revêt en soi aucune importance particulière.</w:t>
      </w:r>
    </w:p>
    <w:p>
      <w:r>
        <w:rPr>
          <w:b/>
        </w:rPr>
        <w:t>E. 1.3</w:t>
      </w:r>
    </w:p>
    <w:p>
      <w:r>
        <w:t>Le recourant reproche à la Cour des plaintes de n'avoir pas ordonné la production du contrat liant le recourant à son employeur, afin de vérifier que l'infraction de corruption d'agent privé serait aussi punissable selon le droit étranger applicable à ce contrat. La cour se serait ainsi écartée de la jurisprudence en matière de double incrimination. Il n'en est rien, car selon la jurisprudence constante, dans les relations avec des Etats parties à la CEEJ, l'autorité suisse se borne à examiner la punissabilité au regard du droit suisse et n'a pas à contrôler de surcroît si les faits poursuivis dans l'Etat requérant sont aussi punissables dans cet Etat, quel que soit le droit applicable ( ATF 116 Ib 89 consid. 3c/aa p. 94, et les arrêts cités; cf. aussi ATF 124 II 184 consid. 4b p. 186/187). Le grief de violation du droit d'être entendu doit être rejeté dans la même mesure, puisqu'il porte sur des moyens de preuve relatifs à l'application du droit étranger. Enfin, l'argument relatif au principe de la spécialité ne requiert, lui non plus, aucune précision de jurisprudence: l'entraide est clairement requise pour un délit purement pénal, et les exigences particulières en matière d'escroquerie fiscale n'ont pas à s'appliquer.</w:t>
      </w:r>
    </w:p>
    <w:p>
      <w:r>
        <w:rPr>
          <w:b/>
        </w:rPr>
        <w:t>E. 1.4</w:t>
      </w:r>
    </w:p>
    <w:p>
      <w:r>
        <w:t>Pour le surplus, le cas ne revêt aucune importance particulière au regard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