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1C_629/2023 vom 23. November 2023</w:t>
      </w:r>
    </w:p>
    <w:p>
      <w:r>
        <w:t>Bundesgericht, 2023-11-23, DE</w:t>
      </w:r>
    </w:p>
    <w:p>
      <w:r>
        <w:rPr>
          <w:b/>
        </w:rPr>
        <w:t xml:space="preserve">Quelle: </w:t>
      </w:r>
      <w:r>
        <w:t>https://mcp.opencaselaw.ch/entscheid/bger_1C_629_2023</w:t>
      </w:r>
    </w:p>
    <w:p>
      <w:r>
        <w:t>FR: TF 1C_629/2023 du 23 novembre 2023</w:t>
      </w:r>
    </w:p>
    <w:p>
      <w:r>
        <w:t>IT: TF 1C_629/2023 del 23 novembre 2023</w:t>
      </w:r>
    </w:p>
    <w:p>
      <w:pPr>
        <w:pStyle w:val="Heading2"/>
      </w:pPr>
      <w:r>
        <w:t>Erwägungen</w:t>
      </w:r>
    </w:p>
    <w:p>
      <w:r>
        <w:rPr>
          <w:b/>
        </w:rPr>
        <w:t>E. 1</w:t>
      </w:r>
    </w:p>
    <w:p>
      <w:r>
        <w:t>Am 9. Januar 2023 wurde beim Stadtrat Dübendorf die Volksinitiative "12 Jahre sind genug! Initiative zur Beschränkung der Amtszeit für gewählte Behördenmitglieder" eingereicht. Mit der Initiative soll Art. 7 der Gemeindeordnung der Stadt Dübendorf mit einem neuen, zweiten Absatz ergänzt werden, wonach die Amtszeit von gewählten Behördenmitgliedern auf drei Amtsdauern, maximal zwölf Jahre, beschränkt ist. Am 8. Mai 2023 erklärte der Gemeinderat Dübendorf die Volksinitiative auf entsprechenden Antrag des Stadtrats hin für ungültig, da sie gegen übergeordnetes Recht verstosse. Den dagegen von René Kuhlmann erhobenen Rekurs wies der Bezirksrat Uster am 17. August 2023 ab, wogegen René Kuhlmann an das Verwaltungsgericht des Kantons Zürich gelangte. Mit Urteil vom 12. Oktober 2023 wies das Gericht das Rechtsmittel ab.</w:t>
      </w:r>
    </w:p>
    <w:p>
      <w:r>
        <w:rPr>
          <w:b/>
        </w:rPr>
        <w:t>E. 2</w:t>
      </w:r>
    </w:p>
    <w:p>
      <w:r>
        <w:t>Mit Eingabe vom 20. November 2023 erhebt René Kuhlmann gegen das Urteil des Verwaltungsgerichts Beschwerde beim Bundesgericht. Er beantragt die Aufhebung des Urteils sowie des Entscheids des Bezirksrats und des Beschlusses des Gemeinderats, mit dem dieser die Volksinitiative für ungültig erklärte. Der Gemeinderat habe ohne Bericht und Antrag des Stadtrats zur materiellen Beratung und zur Beschlussfassung über die Volksinitiative zu schreiten und diese der Volksabstimmung zu unterbreiten.</w:t>
      </w:r>
    </w:p>
    <w:p>
      <w:r>
        <w:t>Das Bundesgericht verzichtet auf die Einholung von Stellungnahmen.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ist im angefochten Urteil zum Schluss gekommen, der Gemeinderat der Stadt Dübendorf habe die kommunale Volksinitiative zur Beschränkung der Amtszeit gewählter Behördenmitglieder zu Recht für ungültig erklärt. Das kantonale Recht räume den Gemeinden im Kanton Zürich nicht das Recht ein, eine Amtszeitbeschränkung einzuführen. Die kantonale Regelung der Amtsdauer sowie des passiven Wahlrechts erweise sich insofern als abschliessend. Die Volksinitiative, die auf Gemeindeebene eine Amtszeitbeschränkung einführen wolle, verstosse deshalb gegen übergeordnetes Recht.</w:t>
      </w:r>
    </w:p>
    <w:p>
      <w:r>
        <w:t>Der Beschwerdeführer kritisiert zwar die Begründung des angefochtenen Entscheids in einzelnen Punkten und bestreitet entgegen der auf Lehre und Materialien gestützten Beurteilung der Vorinstanz, dass die Initiative gegen übergeordnetes Recht verstosse. Er setzt sich mit den vorinstanzlichen Erwägungen jedoch nicht weiter und sachgerecht auseinander. Er legt nicht im Einzelnen und konkret dar, inwiefern die Begründung der Vorinstanz oder deren Entscheid selbst Recht im Sinne von Art. 42 Abs. 2 BGG verletzen soll. Seine im Wesentlichen appellatorische Kritik genügt den Begründungsanforderungen offensichtlich nicht. Es ist daher im vereinfachten Verfahren nach Art. 108 Abs. 1 BGG auf die Beschwerde nicht einzutreten.</w:t>
      </w:r>
    </w:p>
    <w:p>
      <w:r>
        <w:rPr>
          <w:b/>
        </w:rPr>
        <w:t>E. 4</w:t>
      </w:r>
    </w:p>
    <w:p>
      <w:r>
        <w:t>Bei diesem Verfahrensausgang ist der Beschwerdeführer kostenpflichtig ( Art. 66 Abs. 1 BGG ). Parteienschädigungen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