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629/2020 vom 1. Oktober 2021</w:t>
      </w:r>
    </w:p>
    <w:p>
      <w:r>
        <w:t>Bundesgericht, 2021-10-01, DE</w:t>
      </w:r>
    </w:p>
    <w:p>
      <w:r>
        <w:rPr>
          <w:b/>
        </w:rPr>
        <w:t xml:space="preserve">Quelle: </w:t>
      </w:r>
      <w:r>
        <w:t>https://mcp.opencaselaw.ch/entscheid/bger_1C_629_2020</w:t>
      </w:r>
    </w:p>
    <w:p>
      <w:r>
        <w:t>FR: TF 1C 629/2020 du 1 octobre 2021</w:t>
      </w:r>
    </w:p>
    <w:p>
      <w:r>
        <w:t>IT: TF 1C 629/2020 del 1 ottobre 2021</w:t>
      </w:r>
    </w:p>
    <w:p>
      <w:pPr>
        <w:pStyle w:val="Heading2"/>
      </w:pPr>
      <w:r>
        <w:t>Regeste</w:t>
      </w:r>
    </w:p>
    <w:p>
      <w:r>
        <w:t>Warnungsentzug | Strassenbau und Strassenverkehr</w:t>
      </w:r>
    </w:p>
    <w:p>
      <w:pPr>
        <w:pStyle w:val="Heading2"/>
      </w:pPr>
      <w:r>
        <w:t>Erwägungen</w:t>
      </w:r>
    </w:p>
    <w:p>
      <w:r>
        <w:rPr>
          <w:b/>
        </w:rPr>
        <w:t>E. 1.1</w:t>
      </w:r>
    </w:p>
    <w:p>
      <w:r>
        <w:t>Die Sachurteilsvoraussetzungen der Beschwerde in öffentlich-rechtlichen Angelegenheiten sind grundsätzlich gegeben (Art. 82 lit. a, Art. 83 e contrario , Art. 86 Abs. 1 lit. d und Abs. 2, Art. 89 Abs. 1, Art. 90 und Art. 100 Abs. 1 BGG .</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Erhöhte Anforderungen an die Begründung gelten, soweit die Verletzung von Grundrechten, insbesondere des Willkürverbots, gerügt wird ( Art. 106 Abs. 2 BGG ; BGE 142 V 577 E. 3.2 ; 142 I 99 E. 1.7.2).</w:t>
      </w:r>
    </w:p>
    <w:p>
      <w:r>
        <w:rPr>
          <w:b/>
        </w:rPr>
        <w:t>E. 1.3</w:t>
      </w:r>
    </w:p>
    <w:p>
      <w:r>
        <w:t>Das Bundesgericht legt seinem Urteil weiter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Verwaltungsgericht Bundesrecht verletzt hat, als es den Entzug des Führerausweises des Beschwerdeführers für die Dauer von 17 Monaten bestätigt hat.</w:t>
      </w:r>
    </w:p>
    <w:p>
      <w:r>
        <w:rPr>
          <w:b/>
        </w:rPr>
        <w:t>E. 3.1</w:t>
      </w:r>
    </w:p>
    <w:p>
      <w:r>
        <w:t>Nach Widerhandlungen gegen die Strassenverkehrsvorschriften, bei denen das Verfahren nach dem Ordnungsbussengesetz vom 24. Juni 1970 ausgeschlossen ist, wird gemäss Art. 16 Abs. 2 SVG (SR 741.01) der Führerausweis entzogen oder eine Verwarnung ausgesprochen. Das Gesetz unterscheidet in diesem Zusammenhang zwischen leichten, mittelschweren und schweren Widerhandlungen ( Art. 16 a-c SVG ).</w:t>
      </w:r>
    </w:p>
    <w:p>
      <w:r>
        <w:rPr>
          <w:b/>
        </w:rPr>
        <w:t>E. 3.2</w:t>
      </w:r>
    </w:p>
    <w:p>
      <w:r>
        <w:t>Bei der Verwirklichung mehrerer Entzugsgründe durch eine oder mehrere Handlungen sind die Konkurrenzbestimmungen nach Art. 49 StGB sinngemäss anwendbar. Die Dauer für die schwerste Administrativmassnahme ist angemessen zu erhöhen ( BGE 122 II 180 E. 5b; Urteil 1C_626/2019 vom 8. Oktober 2020 E. 4.2; vgl. auch BGE 146 II 300 E. 4.3). Dies gilt namentlich auch für die sog. "retrospektive Konkurrenz" im Sinne von Art. 49 Abs. 2 StGB : Begeht ein Fahrzeugführer noch vor der rechtskräftigen Verfügung über einen Warnungsentzug eine zweite Widerhandlung, welche einen solchen Entzug zur Folge hat, so ist im zweiten Administrativverfahren die Dauer des Warnungsentzuges im Sinne einer Zusatzmassnahme so zu bemessen, dass der Fahrzeugführer nicht schwerer sanktioniert wird, als wenn die beiden Widerhandlungen gleichzeitig beurteilt worden wären (Urteil 1C_248/2020 vom 14. Dezember 2020 E. 3.3). Hat das Gericht im zweiten Administrativverfahren - wie vorliegend - zusätzlich noch über eine Verkehrswiderhandlung zu befinden, die sich nach dem bereits rechtskräftig verfügten Warnungsentzug ereignete, die aber wiederum einen solchen Entzug zur Folge hat, so hat es für dieses Ereignis eine unabhängige Massnahme zu verhängen. Zu dieser Massnahme ist schliesslich die Zusatzmassnahme für die Vorfälle, die sich noch vor dem bereits verfügten Warnungsentzug ereigneten, hinzu zu addieren (vgl. BGE 145 IV 1 E. 1.3; Urteil 6B_192/2020 vom 19. August 2020 E. 2.4).</w:t>
      </w:r>
    </w:p>
    <w:p>
      <w:r>
        <w:rPr>
          <w:b/>
        </w:rPr>
        <w:t>E. 3.3</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Die Mindestentzugsdauer darf jedoch (von der hier nicht interessierenden Ausnahme für Vorfälle auf Dienstfahrten gemäss Art. 100 Ziff. 4 SVG abgesehen) nicht unterschritten werden ( Art. 16 Abs. 3 Satz 2 SVG ).</w:t>
      </w:r>
    </w:p>
    <w:p>
      <w:r>
        <w:rPr>
          <w:b/>
        </w:rPr>
        <w:t>E. 4.1</w:t>
      </w:r>
    </w:p>
    <w:p>
      <w:r>
        <w:t>Der Beschwerdeführer bestreitet vor Bundesgericht nicht mehr, dass die beiden Vorfälle vom 27. Mai 2017 und 15. März 2019 schwere Verkehrsregelverletzungen im Sinne von Art. 16c Abs. 1 SVG darstellen. Ebenso wenig beanstandet er, dass aufgrund dieser Widerhandlungen der Führerausweis zu entziehen ist, wobei in sinngemässer Anwendung von Art. 49 Abs. 1 und Abs. 2 StGB eine Gesamtmassnahme festzusetzen ist (vgl. vorne E. 3.2). Unbestritten ist weiter, dass die Mindestentzugsdauer für die am 27. Mai 2017 begangene Abstandsverletzung gemäss Art. 16c Abs. 2 lit. a SVG drei Monate beträgt, währenddem dem Beschwerdeführer der Führerausweis für die Geschwindigkeitsübertretung vom 15. März 2019 nach Art. 16c Abs. 2 lit. c SVG für mindestens zwölf Monate zu entziehen ist. Der Beschwerdeführer beanstandet jedoch die festgesetzte Gesamtdauer des Warnungsentzugs von insgesamt 17 Monaten. Er rügt, die Entzugsdauer sei zu hoch angesetzt worden, da die Vorinstanz bei der Beurteilung seines automobilistischen Leumunds auch Widerhandlungen berücksichtigt habe, die mehr als zehn Jahre zurückliegen. Dies sei unzulässig, da im strassenverkehrsrechtlichen Administrativverfahren in analoger Anwendung von Art. 369 Abs. 3 i.V.m Art. 369 Abs. 7 StGB Verkehrsregelverletzungen, die mehr als zehn Jahre zurückliegen, nicht mehr berücksichtigt werden könnten. Weiter habe die Vorinstanz bei der Bemessung der Gesamtmassnahme auch gegen das "Doppelverwertungsgebot" verstossen, indem sie seinen getrübten automobilistischen Leumund sowohl bei der Festsetzung der Zusatzmassnahme wie auch der Massnahme für die Geschwindigkeitsübertretung berücksichtigt habe. Infolgedessen sei die Entzugsdauer auf höchstens 13 Monate zu reduzieren.</w:t>
      </w:r>
    </w:p>
    <w:p>
      <w:r>
        <w:rPr>
          <w:b/>
        </w:rPr>
        <w:t>E. 4.2</w:t>
      </w:r>
    </w:p>
    <w:p>
      <w:r>
        <w:t>Die Einwendungen des Beschwerdeführers sind unbegründet. Rechtsprechungsgemäss lassen die als Mindestentzugsdauer ausgestalteten Regelungen von Art. 16a Abs. 2, Art. 16b Abs. 2 und Art. 16c Abs. 2 SVG grundsätzlich Raum für eine Berücksichtigung des automobilistischen Leumunds ohne zeitliche Begrenzung (Urteile 1C_320/2018 vom 14. Januar 2019 E. 3.2; 6A.53/2005 vom 10. November 2005 E. 3.2). Vor diesem Hintergrund ist es nicht zu beanstanden, wenn die Vorinstanz den Umstand, dass gegen den Beschwerdeführer gemäss ADMAS-Register im Zeitraum von 1991 bis zur Verfügung vom 5. April 2018 neun Ausweisentzüge angeordnet worden sind, unter dem Blickwinkel des Leumunds als bedeutsam für die Bemessung der Entzugsdauer ansah. Ausgehend von der zitierten Rechtsprechung ist es mit Blick auf das sog. Doppelverwertungsverbot (vgl. hierzu BGE 142 IV 14 E. 5.4) sodann auch nicht zu beanstanden, wenn die Vorinstanz den getrübten automobilistischen Leumund des Beschwerdeführers, nebst den weiteren massgeblichen Zumessungskriterien, sowohl bei der Festsetzung der Zusatzmassnahme für die Abstandsunterschreitung wie auch für die Bemessung der Entzugsdauer für die Geschwindigkeitsübertretung berücksichtigte, sind doch die beiden Massnahmen zunächst unabhängig voneinander festzusetzen, ehe sie im Sinne einer Gesamtmassnahme addiert werden (vgl. vorne E. 3.2).</w:t>
      </w:r>
    </w:p>
    <w:p>
      <w:r>
        <w:rPr>
          <w:b/>
        </w:rPr>
        <w:t>E. 4.3</w:t>
      </w:r>
    </w:p>
    <w:p>
      <w:r>
        <w:t>Demzufolge ergibt sich, dass die Vorinstanz die massgebenden Umstände korrekt berücksichtigt hat und bei deren Würdigung im Rahmen des ihr zustehenden Ermessens geblieben ist. Die angeordnete Entzugsdauer von 17 Monaten erweist sich damit als bundesrechtskonform.</w:t>
      </w:r>
    </w:p>
    <w:p>
      <w:r>
        <w:rPr>
          <w:b/>
        </w:rPr>
        <w:t>E. 5</w:t>
      </w:r>
    </w:p>
    <w:p>
      <w:r>
        <w:t>Nach dem Gesagten ist die Beschwerde abzuweisen. Bei diesem Ausgang des Verfahrens wird der unterliegende Beschwerdeführer kostenpflichtig ( Art. 66 Abs. 1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