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1C_629/2012 vom 14. Dezember 2012</w:t>
      </w:r>
    </w:p>
    <w:p>
      <w:r>
        <w:t>Bundesgericht, 2012-12-14, DE</w:t>
      </w:r>
    </w:p>
    <w:p>
      <w:r>
        <w:rPr>
          <w:b/>
        </w:rPr>
        <w:t xml:space="preserve">Quelle: </w:t>
      </w:r>
      <w:r>
        <w:t>https://mcp.opencaselaw.ch/entscheid/bger_1C_629_2012</w:t>
      </w:r>
    </w:p>
    <w:p>
      <w:r>
        <w:t>FR: TF 1C_629/2012 du 14 décembre 2012</w:t>
      </w:r>
    </w:p>
    <w:p>
      <w:r>
        <w:t>IT: TF 1C_629/2012 del 14 dicembre 2012</w:t>
      </w:r>
    </w:p>
    <w:p>
      <w:pPr>
        <w:pStyle w:val="Heading2"/>
      </w:pPr>
      <w:r>
        <w:t>Erwägungen</w:t>
      </w:r>
    </w:p>
    <w:p>
      <w:r>
        <w:rPr>
          <w:b/>
        </w:rPr>
        <w:t>E. 1</w:t>
      </w:r>
    </w:p>
    <w:p>
      <w:r>
        <w:t>Die Beschwerden betreffen dieselbe Rechtshilfeangelegenheit und stimmen wörtlich überein. Es rechtfertigt sich daher, die Beschwerdeverfahren zu vereinigen.</w:t>
      </w:r>
    </w:p>
    <w:p>
      <w:r>
        <w:rPr>
          <w:b/>
        </w:rPr>
        <w:t>E. 2.1</w:t>
      </w:r>
    </w:p>
    <w:p>
      <w:r>
        <w:t>Gemäss Art. 84 BGG ist gegen einen Entscheid auf dem Gebiet der internationalen Rechtshilfe in Strafsachen die Beschwerde nur zulässig, wenn er unter anderem eine Übermittlung von Informationen aus dem Geheimbereich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w:t>
      </w:r>
    </w:p>
    <w:p>
      <w:r>
        <w:t>Art. 84 BGG bezweckt die wirksame Begrenzung des Zugangs zum Bundesgericht im Bereich der internationalen Rechtshilfe in Strafsachen ( BGE 134 IV 156 E. 1.3.1 S. 160 mit Hinweisen). Ein besonders bedeutender Fall ist mit Zurückhaltung anzunehmen ( BGE 136 IV 139 E. 2.4 S. 144 mit Hinweis).</w:t>
      </w:r>
    </w:p>
    <w:p>
      <w:r>
        <w:t>Bei der Beantwortung der Frage, ob ein besonders bedeutender Fall gegeben ist, steht dem Bundesgericht ein weiter Ermessensspielraum zu ( BGE 134 IV 156 E. 1.3.1 S. 160 mit Hinweis).</w:t>
      </w:r>
    </w:p>
    <w:p>
      <w:r>
        <w:t>Erachtet das Bundesgericht eine Beschwerde auf dem Gebiet der internationalen Rechtshilfe in Strafsachen als unzulässig, so fällt es gemäss Art. 107 Abs. 3 BGG - abgesehen von einem hier nicht gegebenen Ausnahmefall - den Nichteintretensentscheid innert 15 Tagen seit Abschluss eines allfälligen Schriftenwechsels.</w:t>
      </w:r>
    </w:p>
    <w:p>
      <w:r>
        <w:t>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2.2</w:t>
      </w:r>
    </w:p>
    <w:p>
      <w:r>
        <w:t>Zwar geht es hier um die Übermittlung von Informationen aus dem Geheimbereich und damit ein Sachgebiet, bei dem die Beschwerde nach Art. 84 Abs. 1 BGG insoweit möglich ist. Entgegen der Auffassung der Beschwerdeführer handelt es sich jedoch um keinen besonders bedeutenden Fall.</w:t>
      </w:r>
    </w:p>
    <w:p>
      <w:r>
        <w:t>Sie stellen die Verhältnismässigkeit der Rechtshilfe in Frage. Die Vorinstanz hat sich dazu einlässlich geäussert (angefochtene Entscheide je E. 6). Sie kommt zum Schluss, die Bankunterlagen seien für das ausländische Strafverfahren offensichtlich potenziell erheblich. Die Erwägungen der Vorinstanz, auf die verwiesen werden kann, überzeugen. Rechtsfragen von grundsätzlicher Bedeutung stellen sich nicht. Die Vorinstanz weist insbesondere zutreffend darauf hin, dass Rechtshilfe auch zur Entlastung des Beschuldigten geleistet werden kann (vgl. Art. 63 Abs. 5 und Art. 64 Abs. 2 IRSG ; BGE 118 Ib 547 E. 3a S. 552; 111 E. 5d S. 124/125; Urteil 1A.88/2006 vom 22. Juni 2006 E. 5.2 f.). Auch sonst wie ist der Fall nicht von aussergewöhnlicher Tragweite. Für das Bundesgericht besteht deshalb kein Anlass, die Sache an die Hand zu nehmen.</w:t>
      </w:r>
    </w:p>
    <w:p>
      <w:r>
        <w:t>Die Beschwerden sind danach unzulässig.</w:t>
      </w:r>
    </w:p>
    <w:p>
      <w:r>
        <w:rPr>
          <w:b/>
        </w:rPr>
        <w:t>E. 3</w:t>
      </w:r>
    </w:p>
    <w:p>
      <w:r>
        <w:t>Bei diesem Ausgang der Verfahren tragen die Beschwerdeführer die 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