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1C_628/2023 vom 23. Januar 2024</w:t>
      </w:r>
    </w:p>
    <w:p>
      <w:r>
        <w:t>Bundesgericht, 2024-01-23, DE</w:t>
      </w:r>
    </w:p>
    <w:p>
      <w:r>
        <w:rPr>
          <w:b/>
        </w:rPr>
        <w:t xml:space="preserve">Quelle: </w:t>
      </w:r>
      <w:r>
        <w:t>https://mcp.opencaselaw.ch/entscheid/bger_1C_628_2023</w:t>
      </w:r>
    </w:p>
    <w:p>
      <w:r>
        <w:t>FR: TF 1C_628/2023 du 23 janvier 2024</w:t>
      </w:r>
    </w:p>
    <w:p>
      <w:r>
        <w:t>IT: TF 1C_628/2023 del 23 gennaio 2024</w:t>
      </w:r>
    </w:p>
    <w:p>
      <w:pPr>
        <w:pStyle w:val="Heading2"/>
      </w:pPr>
      <w:r>
        <w:t>Erwägungen</w:t>
      </w:r>
    </w:p>
    <w:p>
      <w:r>
        <w:rPr>
          <w:b/>
        </w:rPr>
        <w:t>E. 1.1</w:t>
      </w:r>
    </w:p>
    <w:p>
      <w:r>
        <w:t>Angefochten ist ein kantonal letztinstanzlicher Entscheid, mit dem das Verwaltungsgericht einen Baustopp im Sinne einer vorsorglichen Massnahme erlassen hat. Dagegen steht die Beschwerde in öffentlich-rechtlichen Angelegenheiten grundsätzlich offen ( Art. 82 ff. BGG ). Es handelt sich bei der angefochtenen Verfügung jedoch um einen selbständig eröffneten Zwischenentscheid, gegen den die sofortige Beschwerde nur zulässig ist, wenn er die Zuständigkeit oder den Ausstand betrifft ( Art. 92 BGG ),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a BGG ). Erstere und letztere Variante fallen vorliegend unbestrittenermassen nicht in Betracht. Streitig ist hingegen, ob der verfügte Baustopp für die Beschwerdeführenden einen nicht wieder gutzumachenden Nachteil zur Folge haben könnte (zum Begriff des nicht wieder gutzumachenden Nachteils und zur diesbezüglichen Begründungsobliegenheit BGE 149 II 170 E. 1.3; 148 IV 155 E. 1.1; je mit Hinweisen).</w:t>
      </w:r>
    </w:p>
    <w:p>
      <w:r>
        <w:rPr>
          <w:b/>
        </w:rPr>
        <w:t>E. 1.2</w:t>
      </w:r>
    </w:p>
    <w:p>
      <w:r>
        <w:t>Zur Begründung des nicht wieder gutzumachenden Nachteils bringen die Beschwerdeführenden vor, die Tiere in der bestehenden Scheune auf dem Grundstück Nr. 778 seien aufgrund einer im Jahr 1998 vorgenommenen Erhöhung der Netzspannung der über das Grundstück führenden Hochspannungsleitung einer starken Belastung durch Elektrosmog ausgesetzt. Auch sie selbst würden durch die langen Aufenthalte in der Scheune in ihrer Gesundheit beeinträchtigt. Bis die neue Scheune realisiert sei, blieben die Beschwerdeführenden und ihre Tiere den gesundheitlichen Beeinträchtigungen durch die Hochspannungsleitung ausgesetzt. Jede weitere Verzögerung der Bauausführung habe eine Verschlechterung der Gesundheit von Mensch und Tier zur Folge. Diese Nachteile liessen sich nicht wiedergutmachen.</w:t>
      </w:r>
    </w:p>
    <w:p>
      <w:r>
        <w:rPr>
          <w:b/>
        </w:rPr>
        <w:t>E. 1.3</w:t>
      </w:r>
    </w:p>
    <w:p>
      <w:r>
        <w:t>Zwar können gesundheitliche Beeinträchtigungen von Mensch und Tier durchaus einen Nachteil im Sinne von Art. 93 Abs. 1 lit. a BGG darstellen. Es ist jedoch nicht ersichtlich, weshalb die - gemäss den erstmals vor Bundesgericht eingereichten Belegen - angeblich bereits im Jahr 2000 festgestellte Belastung durch Elektrosmog über 23 Jahre nach deren Entdeckung eine dringende Notlage darstellt, die nur durch die umgehende Realisierung eines bereits vor über 13 Jahren initiierten Bauvorhabens abgewendet werden könnte. Die Beschwerdeführenden vermögen mit anderen Worten nicht darzulegen, dass ein weiteres Zuwarten mit dem allfälligen Bau der neuen Scheune, bis über den Bestand der im Jahr 2010 erteilten Baubewilligung entschieden ist, für sie einen irreparablen Nachteil zur Folge haben könnte. Damit kann offenbleiben, ob die vorgebrachten neuen Tatsachen und Beweismittel im bundesgerichtlichen Verfahren überhaupt zulässig sind (vgl. Art. 99 Abs. 1 BGG ).</w:t>
      </w:r>
    </w:p>
    <w:p>
      <w:r>
        <w:rPr>
          <w:b/>
        </w:rPr>
        <w:t>E. 2</w:t>
      </w:r>
    </w:p>
    <w:p>
      <w:r>
        <w:t>Auf die offensichtlich unzulässige Beschwerde ist im vereinfachten Verfahren nicht einzutreten ( Art. 108 Abs. 1 lit. a und Abs. 2 BGG ). Bei diesem Ausgang des Verfahrens werden die Beschwerdeführenden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