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1C_628/2018 vom 29. November 2018</w:t>
      </w:r>
    </w:p>
    <w:p>
      <w:r>
        <w:t>Bundesgericht, 2018-11-29, FR</w:t>
      </w:r>
    </w:p>
    <w:p>
      <w:r>
        <w:rPr>
          <w:b/>
        </w:rPr>
        <w:t xml:space="preserve">Quelle: </w:t>
      </w:r>
      <w:r>
        <w:t>https://mcp.opencaselaw.ch/entscheid/bger_1C_628_2018</w:t>
      </w:r>
    </w:p>
    <w:p>
      <w:r>
        <w:t>FR: TF 1C_628/2018 du 29 novembre 2018</w:t>
      </w:r>
    </w:p>
    <w:p>
      <w:r>
        <w:t>IT: TF 1C_628/2018 del 29 novembre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documents bancaires, soit des renseignements touchant le domaine secret. Toutefois, compte tenu des faits à l'origine de la demande (une infraction en soi dépourvue de caractère politique ou fiscal) et de la nature de la transmission envisagée (limitée à la documentation relative à des comptes bancaires), le cas ne revêt en soi aucune importance particulière.</w:t>
      </w:r>
    </w:p>
    <w:p>
      <w:r>
        <w:rPr>
          <w:b/>
        </w:rPr>
        <w:t>E. 1.3</w:t>
      </w:r>
    </w:p>
    <w:p>
      <w:r>
        <w:t>Les recourantes relèvent que la transmission de renseignements n'aurait pas été requise, la demande d'entraide tendant uniquement au blocage de quatre comptes expressément désignés dont aucun ne leur appartient. Une telle interprétation extensive de la demande d'entraide et du principe d'utilité potentielle poserait une question de principe.</w:t>
      </w:r>
    </w:p>
    <w:p>
      <w:r>
        <w:t>La jurisprudence constante admet que l'on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 Ainsi, il est possible de transmettre des renseignements au sujet de comptes qui ne sont pas expressément mentionnés dans la demande d'entraide, mais qui présentent une connexité (mouvements de fonds, identité du titulaire ou de l'ayant droit) avec les avoirs visés (arrêt 1A.70/2002 du 3 mai 2002). Il est aussi admissible, sur la base des mêmes principes, de transmettre des renseignements au sujet de comptes dont seul le blocage est requis, car ces renseignements peuvent permettre de motiver une demande de restitution fondée sur l' art. 74a EIMP (arrêt 1A.303/2004 du 29 mars 2005 consid. 4). L'application cumulative de ces deux pratiques ne pose aucune question de principe, tant il paraît évident qu'une transmission de renseignements au sujet de comptes en lien avec ceux dont le blocage est requis, correspond à la volonté de l'autorité requérante. Cela correspond à la notion d'entraide "la plus large possible" que la Suisse s'est engagée à accorder en vertu de l'échange de lettres du 20 février 1989 entre la Suisse et l'Inde concernant l'entraide judiciaire en matière pénale (RS 0.351.942.3).</w:t>
      </w:r>
    </w:p>
    <w:p>
      <w:r>
        <w:rPr>
          <w:b/>
        </w:rPr>
        <w:t>E. 1.4</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solidaire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