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1C_628/2015 vom 16. Dezember 2015</w:t>
      </w:r>
    </w:p>
    <w:p>
      <w:r>
        <w:t>Bundesgericht, 2015-12-16, DE</w:t>
      </w:r>
    </w:p>
    <w:p>
      <w:r>
        <w:rPr>
          <w:b/>
        </w:rPr>
        <w:t xml:space="preserve">Quelle: </w:t>
      </w:r>
      <w:r>
        <w:t>https://mcp.opencaselaw.ch/entscheid/bger_1C_628_2015</w:t>
      </w:r>
    </w:p>
    <w:p>
      <w:r>
        <w:t>FR: TF 1C_628/2015 du 16 décembre 2015</w:t>
      </w:r>
    </w:p>
    <w:p>
      <w:r>
        <w:t>IT: TF 1C_628/2015 del 16 dicembre 2015</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eine Auslieferung und damit um ein Sachgebiet, bei dem die Beschwerde nach Art. 84 Abs. 1 BGG insoweit möglich ist. Ein besonders bedeutender Fall kann jedoch nicht angenommen werden.</w:t>
      </w:r>
    </w:p>
    <w:p>
      <w:r>
        <w:t>Die Vorinstanz hat sich zu den Voraussetzungen der Auslieferung eingehend geäussert. Sie kommt zum Schluss, an der Rechtmässigkeit der Auslieferung bestünden keine Zweifel. Ihre Erwägungen, auf welche vollumfänglich verwiesen werden kann ( Art. 109 Abs. 3 BGG ), stützen sich auf die bundesgerichtliche Rechtsprechung und sind nicht zu beanstanden. Rechtsfragen von grundsätzlicher Bedeutung stellen sich nicht. Auch sonst wie kommt der Angelegenheit keine aussergewöhnliche Tragweite zu. Für das Bundesgericht besteht deshalb kein Anlass, die Sache an die Hand zu nehmen.</w:t>
      </w:r>
    </w:p>
    <w:p>
      <w:r>
        <w:t>Die Beschwerde ist demnach unzulässig.</w:t>
      </w:r>
    </w:p>
    <w:p>
      <w:r>
        <w:rPr>
          <w:b/>
        </w:rPr>
        <w:t>E. 2</w:t>
      </w:r>
    </w:p>
    <w:p>
      <w:r>
        <w:t>Der Beschwerdeführer ersucht sinngemäss um unentgeltliche Rechtspflege und Verbeiständung gemäss Art. 64 BGG . Da die Beschwerde aussichtslos war, kann dem Gesuch nicht entsprochen werden. Unter den gegebenen Umständen - der Beschwerdeführer befindet sich seit Längerem in Haft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