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1C_627/2023 vom 23. November 2023</w:t>
      </w:r>
    </w:p>
    <w:p>
      <w:r>
        <w:t>Bundesgericht, 2023-11-23, DE</w:t>
      </w:r>
    </w:p>
    <w:p>
      <w:r>
        <w:rPr>
          <w:b/>
        </w:rPr>
        <w:t xml:space="preserve">Quelle: </w:t>
      </w:r>
      <w:r>
        <w:t>https://mcp.opencaselaw.ch/entscheid/bger_1C_627_2023</w:t>
      </w:r>
    </w:p>
    <w:p>
      <w:r>
        <w:t>FR: TF 1C_627/2023 du 23 novembre 2023</w:t>
      </w:r>
    </w:p>
    <w:p>
      <w:r>
        <w:t>IT: TF 1C_627/2023 del 23 novembre 2023</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BGE 145 IV 99 E. 1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mit Hinweisen).</w:t>
      </w:r>
    </w:p>
    <w:p>
      <w:r>
        <w:t>Gemäss Art. 42 Abs. 2 BGG ist in der Begründung der Rechtsschrift in gedrängter Form darzulegen, inwiefern der angefochtene Akt Recht verletzt. Ist eine Beschwerde nur unter der Voraussetzung zulässig, dass ein besonders bedeutender Fall nach Art. 84 BGG vorliegt, so ist auszuführen, warum diese Voraussetzung erfüllt ist ( BGE 145 IV 99 E. 1.5 mit Hinweisen).</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um die Übermittlung von Informationen aus dem Geheimbereich und damit um ein Sachgebiet, bei dem die Beschwerde nach Art. 84 Abs. 1 BGG insoweit möglich ist. Es handelt sich jedoch um keinen besonders bedeutenden Fall.</w:t>
      </w:r>
    </w:p>
    <w:p>
      <w:r>
        <w:t>Der angefochtene Entscheid ist hinreichend begründet ( Art. 29 Abs. 2 BV ). Ob der WSA im schweizerischen Strafverfahren ein zulässiges Beweismittel darstellt und ob er hätte vernichtet werden müssen, ist entgegen der Auffassung des Beschwerdeführers nicht von Belang. Entscheidend ist, dass die Erhebung und Herausgabe dieses Beweismittels im Rechtshilfeverfahren zulässig ist. Was der Beschwerdeführer diesbezüglich vorbringt, weckt keine Zweifel an der Bundesrechtskonformität des angefochtenen Entscheids. Hierzu kann auf die zutreffenden Erwägungen der Vorinstanz verwiesen werden. Das Bundesstrafgericht hat die bundesgerichtliche Praxis zu den Anforderungen an die Schilderung des Sachverhalts im Rechtshilfeersuchen richtig wiedergegeben. Der ersuchende Staat muss keine Beweismittel aus dem von ihm eröffneten Strafverfahren vorlegen (Urteil 1C_343/2019 vom 28. Juni 2019 E. 2.2 mit Hinweis), weshalb die in diesem Zusammenhang vom Beschwerdeführer erhobene Rüge der Verletzung seines Anspruchs auf rechtliches Gehör unbegründet ist.</w:t>
      </w:r>
    </w:p>
    <w:p>
      <w:r>
        <w:t>Rechtsfragen von grundsätzlicher Bedeutung stellen sich nicht. Auch sonst ist der Fall nicht von aussergewöhnlicher Tragweite. Für das Bundesgericht besteht daher kein Anlass, die Sache an die Hand zu nehmen.</w:t>
      </w:r>
    </w:p>
    <w:p>
      <w:r>
        <w:rPr>
          <w:b/>
        </w:rPr>
        <w:t>E. 2</w:t>
      </w:r>
    </w:p>
    <w:p>
      <w:r>
        <w:t>Auf die Beschwerde ist nicht einzutreten. Damit wird das Gesuch um aufschiebende Wirkung gegenstandslos. Der Beschwerde kommt im vorliegenden Fall ohnehin schon von Gesetzes wegen aufschiebende Wirkung zu ( Art. 103 Abs. 2 lit. c BGG ).</w:t>
      </w:r>
    </w:p>
    <w:p>
      <w:r>
        <w:t>Bei diesem Verfahrensausgang sind die Gerichtskosten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