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1C_626/2024 vom 26. November 2024</w:t>
      </w:r>
    </w:p>
    <w:p>
      <w:r>
        <w:t>Bundesgericht, 2024-11-26, DE</w:t>
      </w:r>
    </w:p>
    <w:p>
      <w:r>
        <w:rPr>
          <w:b/>
        </w:rPr>
        <w:t xml:space="preserve">Quelle: </w:t>
      </w:r>
      <w:r>
        <w:t>https://mcp.opencaselaw.ch/entscheid/bger_1C_626_2024</w:t>
      </w:r>
    </w:p>
    <w:p>
      <w:r>
        <w:t>FR: TF 1C_626/2024 du 26 novembre 2024</w:t>
      </w:r>
    </w:p>
    <w:p>
      <w:r>
        <w:t>IT: TF 1C_626/2024 del 26 novembre 2024</w:t>
      </w:r>
    </w:p>
    <w:p>
      <w:pPr>
        <w:pStyle w:val="Heading2"/>
      </w:pPr>
      <w:r>
        <w:t>Erwägungen</w:t>
      </w:r>
    </w:p>
    <w:p>
      <w:r>
        <w:rPr>
          <w:b/>
        </w:rPr>
        <w:t>E. 1</w:t>
      </w:r>
    </w:p>
    <w:p>
      <w:r>
        <w:t>A.________ erstattete am 12. August 2024 beim Untersuchungsamt St. Gallen Strafanzeige gegen B.________, Berufsbeiständin bei den Sozialen Diensten der Stadt St. Gallen, und gegen nicht näher bezeichnete Mitarbeiterinnen und Mitarbeiter der Kindes- und Erwachsenenschutzbehörde (KESB) Region St. Gallen. Er warf ihnen namentlich Verleumdung, Missbrauch der Amtsgewalt und Verletzung des Kindeswohls vor. Das Untersuchungsamt St. Gallen leitete die Strafanzeige zur Durchführung eines Ermächtigungsverfahrens an die Anklagekammer des Kantons St. Gallen weiter. Mit Entscheid vom 22. Oktober 2024 verweigerte die Anklagekammer die Ermächtigung.</w:t>
      </w:r>
    </w:p>
    <w:p>
      <w:r>
        <w:rPr>
          <w:b/>
        </w:rPr>
        <w:t>E. 2</w:t>
      </w:r>
    </w:p>
    <w:p>
      <w:r>
        <w:t>Mit Eingabe vom 25. Oktober 2024 erhebt A.________ beim Bundesgericht Beschwerde gegen den Entscheid der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namentlich ausgeführt, soweit der Beschwerdeführer zivil- und aufsichtsrechtliche Vorwürfe erhebe, sei sie nicht zuständig und habe er die entsprechenden Rechtsmittel zu ergreifen bzw. Anzeigen zu erstatten. Die Strafanzeige enthalte sodann keine Anhaltspunkte für ein strafbares Verhalten der angezeigten Personen. Die Ausführungen des Beschwerdeführers liessen vielmehr darauf schliessen, dass er mit deren Tätigkeiten und Verfügungen nicht einverstanden sei. Dies sei jedoch nicht auf dem strafrechtlichen Weg geltend zu machen. Das Strafverfahren diene nicht dazu, missliebige Verfügungen oder Entscheide aus dem Zivil- oder Verwaltungsrecht nachträglich auf deren Rechtmässigkeit überprüfen oder gar aufheben zu lassen. Da keine strafrechtlich relevanten Anhaltspunkte für ein allfälliges strafbares Verhalten der angezeigten Personen vorlägen, sei die Ermächtigung zur Eröffnung eines Strafverfahrens zu verweigern.</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Vorbringen jedoch nicht. Er begnügt sich im Wesentlichen damit, in pauschaler Weise Vorwürfe, teilweise auch strafrechtlicher Natur, gegen die von ihm angezeigten Personen zu erheben sowie das Vorliegen von für die Erteilung der Ermächtigung ausreichenden Anhaltspunkten für ein allfälliges strafbares Verhalten zu behaupten und mit Blick darauf verschiedene Vorwürfe, namentlich der Verletzung von Art. 6 und 13 EMRK , gegen die Vorinstanz zu erheben. Konkrete Anhaltspunkte für allfällige strafrechtliche Verfehlungen der von ihm angezeigten Personen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