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1C_624/2014 vom 18. Februar 2015</w:t>
      </w:r>
    </w:p>
    <w:p>
      <w:r>
        <w:t>Bundesgericht, 2015-02-18, DE</w:t>
      </w:r>
    </w:p>
    <w:p>
      <w:r>
        <w:rPr>
          <w:b/>
        </w:rPr>
        <w:t xml:space="preserve">Quelle: </w:t>
      </w:r>
      <w:r>
        <w:t>https://mcp.opencaselaw.ch/entscheid/bger_1C_624_2014</w:t>
      </w:r>
    </w:p>
    <w:p>
      <w:r>
        <w:t>FR: TF 1C_624/2014 du 18 février 2015</w:t>
      </w:r>
    </w:p>
    <w:p>
      <w:r>
        <w:t>IT: TF 1C_624/2014 del 18 febbraio 2015</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In der Beschwerdeschrift wird geltend gemacht, das dem Beschwerdeführer 1 im russischen Strafverfahren vorgeworfene Verhalten sei damals rechtmässig gewesen und auch nach schweizerischem Recht sei es nicht strafbar.</w:t>
      </w:r>
    </w:p>
    <w:p>
      <w:r>
        <w:t>Die beidseitige Strafbarkeit stellt nach den vorliegend anwendbaren Rechtsgrundlagen nur dann eine Rechtshilfevoraussetzung dar, wenn das Ersuchen die Anwendung von strafprozessualen Zwangsmassnahmen erfordert (Art. 5 Ziff. 1 lit. a des Europäischen Übereinkommens vom 20. April 1959 über die Rechtshilfe in Strafsachen [SR 0.351.1] mit der dazugehörigen Erklärung der Schweiz, Art. 64 Abs. 1 IRSG [SR 351.1], vgl. auch Art. 18 Ziff. 1 lit. f des Europäischen Übereinkommens über Geldwäscherei sowie Ermittlung, Beschlagnahme und Einziehung von Erträgen aus Straftaten vom 8. November 1990 [SR 0.311.53]).</w:t>
      </w:r>
    </w:p>
    <w:p>
      <w:r>
        <w:t>Das Bundesgericht hat bereits mehrfach festgehalten, dass die Übermittlung von Beweismitteln, die sich im Zeitpunkt des Rechtshilfeersuchens bereits im Besitz der schweizerischen Untersuchungsbehörden befinden, keine Zwangsmassnahme darstellt ( BGE 139 IV 137 E. 5.1.3 S. 153; 126 II 462 E. 4b S. 464 f.; Urteil 1A.89/2005 vom 15. Juli 2005 E. 4.2; je mit Hinweisen). Die Informationen, die gemäss der Schlussverfügung der Bundesanwaltschaft den russischen Behörden zu übermitteln sind, wurden bereits zuvor im schweizerischen Strafverfahren gewonnen. Das Rechtshilfeersuchen machte deshalb keine Zwangsmassnahmen erforderlich.</w:t>
      </w:r>
    </w:p>
    <w:p>
      <w:r>
        <w:t>Wenn die Vorinstanz ausführte, die beidseitige Strafbarkeit sei vorliegend keine Voraussetzung der Rechtshilfe, ist dies demnach nicht zu beanstanden.</w:t>
      </w:r>
    </w:p>
    <w:p>
      <w:r>
        <w:t>Die weiteren Rügen der Beschwerdeführer beziehen sich auf die Frage, ob die beidseitige Strafbarkeit gegeben ist und ob die betreffende Kritik im Verfahren vor der Vorinstanz rechtzeitig vorgetragen wurde. Da die beidseitige Strafbarkeit nach dem Ausgeführten hier keine Voraussetzung der Rechtshilfe darstellt, erübrigt es sich, auf diese Rügen einzugehen.</w:t>
      </w:r>
    </w:p>
    <w:p>
      <w:r>
        <w:t>Eine rechtliche Grundsatzfrage stellt sich mithin nicht. Auch sonst bringen die Beschwerdeführer nichts vor, was es rechtfertigen könnte, den vorliegenden Fall als besonders bedeutend einzustufen.</w:t>
      </w:r>
    </w:p>
    <w:p>
      <w:r>
        <w:t>Die Beschwerde ist somit unzulässig.</w:t>
      </w:r>
    </w:p>
    <w:p>
      <w:r>
        <w:rPr>
          <w:b/>
        </w:rPr>
        <w:t>E. 2</w:t>
      </w:r>
    </w:p>
    <w:p>
      <w:r>
        <w:t>Auf die Beschwerde ist nicht einzutreten.</w:t>
      </w:r>
    </w:p>
    <w:p>
      <w:r>
        <w:t>Bei diesem Ausgang des Verfahrens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