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622/2019 vom 29. November 2019</w:t>
      </w:r>
    </w:p>
    <w:p>
      <w:r>
        <w:t>Bundesgericht, 2019-11-29, DE</w:t>
      </w:r>
    </w:p>
    <w:p>
      <w:r>
        <w:rPr>
          <w:b/>
        </w:rPr>
        <w:t xml:space="preserve">Quelle: </w:t>
      </w:r>
      <w:r>
        <w:t>https://mcp.opencaselaw.ch/entscheid/bger_1C_622_2019</w:t>
      </w:r>
    </w:p>
    <w:p>
      <w:r>
        <w:t>FR: TF 1C 622/2019 du 29 novembre 2019</w:t>
      </w:r>
    </w:p>
    <w:p>
      <w:r>
        <w:t>IT: TF 1C 622/2019 del 29 novembre 2019</w:t>
      </w:r>
    </w:p>
    <w:p>
      <w:pPr>
        <w:pStyle w:val="Heading2"/>
      </w:pPr>
      <w:r>
        <w:t>Regeste</w:t>
      </w:r>
    </w:p>
    <w:p>
      <w:r>
        <w:t>Entzug des Führerausweises für Motorfahrzeuge für immer | Strassenbau und Strassenverkehr</w:t>
      </w:r>
    </w:p>
    <w:p>
      <w:pPr>
        <w:pStyle w:val="Heading2"/>
      </w:pPr>
      <w:r>
        <w:t>Erwägungen</w:t>
      </w:r>
    </w:p>
    <w:p>
      <w:r>
        <w:rPr>
          <w:b/>
        </w:rPr>
        <w:t>E. 1</w:t>
      </w:r>
    </w:p>
    <w:p>
      <w:r>
        <w:t>Das Strassenverkehrs- und Schifffahrtsamt des Kantons Bern entzog A.________ mit Verfügung vom 8. März 2019 den Führerausweis für Motorfahrzeuge für immer (Sicherungsentzug). Den Beginn der Massnahme setzte es auf den 23. Januar 2019, das Datum der letzten aktenkundigen Widerhandlung, fest. A.________ erhob gegen diese Verfügung Beschwerde bei der Rekurskommission des Kantons Bern für Massnahmen gegenüber Fahrzeugführerinnen und Fahrzeugführern, welche mit Urteil vom 10. Juli 2019 Dispositivziffer 1 der Verfügung des Strassenverkehrs- und Schifffahrtsamts des Kantons Bern vom 8. März 2019 wie folgt abänderte: "In Anwendung von Art. 16c Abs. 1 Bst. f und Abs. 2 Bst. e in Verbindung mit Art. 16c Abs. 4 und Art. 17 Abs. 4 SVG sowie Art. 33 VZV wird der Entzug des Führerausweises für Motorfahrzeuge von A.________ für immer verfügt. Während der Dauer des Entzuges ist A.________ das Führen von Motorfahrzeugen sämtlicher Kategorien (auch von Motorfahrrädern) untersagt. Diese Massnahme hat auch den Entzug allfälliger Lernfahrausweise oder internationaler Führerausweise sowie die Aberkennung ausländischer Führerausweise zur Folge." Soweit weitergehend wies die Rekurskommission die Beschwerde ab.</w:t>
      </w:r>
    </w:p>
    <w:p>
      <w:r>
        <w:rPr>
          <w:b/>
        </w:rPr>
        <w:t>E. 2</w:t>
      </w:r>
    </w:p>
    <w:p>
      <w:r>
        <w:t>A.________ führt mit Eingabe vom 25. November 2019 (Postaufgabe 26. November 2019) Beschwerde in öffentlich-rechtlichen Angelegenheiten gegen das Urteil der Rekurskommission des Kantons Bern für Massnahmen gegenüber Fahrzeugführerinnen und Fahrzeugführern vom 10. Juli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der keinen zulässigen Beschwerdegrund nennt, setzt sich mit der Begründung der Rekurskommission überhaupt nicht auseinander. Er vermag mit seinen Ausführungen nicht ansatzweise aufzuzeigen, inwiefern die Begründung der Rekurskommission bzw. deren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