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1C_621/2023 vom 23. Mai 2024</w:t>
      </w:r>
    </w:p>
    <w:p>
      <w:r>
        <w:t>Bundesgericht, 2024-05-23, DE</w:t>
      </w:r>
    </w:p>
    <w:p>
      <w:r>
        <w:rPr>
          <w:b/>
        </w:rPr>
        <w:t xml:space="preserve">Quelle: </w:t>
      </w:r>
      <w:r>
        <w:t>https://mcp.opencaselaw.ch/entscheid/bger_1C_621_2023</w:t>
      </w:r>
    </w:p>
    <w:p>
      <w:r>
        <w:t>FR: TF 1C_621/2023 du 23 mai 2024</w:t>
      </w:r>
    </w:p>
    <w:p>
      <w:r>
        <w:t>IT: TF 1C_621/2023 del 23 maggio 2024</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149 I 66 E. 1.3; 149 II 462 E. 1.1 mit Hinweisen). Immerhin sind die sachverhaltlichen Grundlagen, auf die sich die Zulässigkeit einer Beschwerde stützt, von den Beschwerdeführenden darzulegen, soweit sie nicht auf der Hand liegen, namentlich auch in Bezug auf die Legitimation ( BGE 145 I 121 E. 1; 142 V 395 E. 3.1; je mit Hinweisen).</w:t>
      </w:r>
    </w:p>
    <w:p>
      <w:r>
        <w:t>Die frist- ( Art. 100 Abs. 1 BGG ) und formgerecht ( Art. 42 BGG ) eingereichte Eingabe betrifft eine Angelegenheit des öffentlichen Rechts ( Art. 82 lit. a BGG ) und richtet sich gegen das kantonal letztinstanzliche Urteil ( Art. 86 Abs. 1 lit. d BGG ) eines oberen Gerichts ( Art. 86 Abs. 2 BGG ). Da kein Ausschlussgrund vorliegt ( Art. 83 BGG ), ist das Rechtsmittel als Beschwerde in öffentlich-rechtlichen Angelegenheiten zulässig, sofern die Gemeinde hierzu legitimiert ist.</w:t>
      </w:r>
    </w:p>
    <w:p>
      <w:r>
        <w:rPr>
          <w:b/>
        </w:rPr>
        <w:t>E. 2</w:t>
      </w:r>
    </w:p>
    <w:p>
      <w:r>
        <w:t>Zu prüfen ist somit das Beschwerderecht der Gemeinde. Nach Ansicht der Gemeinde scheidet mangels Autonomie der Zürcher Gemeinden im Ausgabenrecht eine Berufung auf die Gemeindeautonomie aus, weshalb sie sich auch nicht auf Art. 89 Abs. 2 lit. c BGG berufen könne. Sie beruft sich zu Recht auch nicht auf einen Legitimationsgrund nach Art. 89 Abs. 3 BGG . Sie macht aber geltend, sie sei nach Art. 89 Abs. 1 BGG zur Beschwerde legitimiert.</w:t>
      </w:r>
    </w:p>
    <w:p>
      <w:r>
        <w:rPr>
          <w:b/>
        </w:rPr>
        <w:t>E. 2.1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141 II 161 E. 2.1 mit Hinweisen).</w:t>
      </w:r>
    </w:p>
    <w:p>
      <w:r>
        <w:rPr>
          <w:b/>
        </w:rPr>
        <w:t>E. 2.2</w:t>
      </w:r>
    </w:p>
    <w:p>
      <w:r>
        <w:t>Die Gemeinde begründet ihre Beschwerdebefugnis nach Art. 89 Abs. 1 BGG damit, dass das angefochtene Urteil des Verwaltungsgerichts sie in der Wahrnehmung einer hoheitlichen Aufgabe betreffe. Aufgrund der überdurchschnittlich hohen Zahl neuer Asylgesuche seit 2022 habe die Sicherheitsdirektion des Kantons Zürich am 6. März 2023 die Aufnahmequote der Gemeinden von bislang 0,9 % per 1. Juni 2023 auf 1,3 % der Wohnbevölkerung erhöhen müssen. Letztmals sei wegen des Krieges in der Ukraine die Aufnahmequote per 19. April 2022 von 0,5 % auf 0,9 % erhöht worden. Die zusätzlichen Unterbringungsplätze hätten von den Gemeinden per 1. Juni 2023 zur Verfügung gestellt werden müssen. Die Gemeinden, die das noch nicht gemacht hätten, würden sich in Verzug befinden und müssten unverzüglich Plätze bereitstellen, um ihre Quote zu erfüllen.</w:t>
      </w:r>
    </w:p>
    <w:p>
      <w:r>
        <w:t>Die erneute Erhöhung der Aufnahmequote habe für die Gemeinde zur Folge, dass sie zusätzlich 38 Personen unterbringen müsse. Weil die Gemeinde u.a. aber auch Personen, die bislang privat untergebracht werden konnten, übernehmen müsse, erhöhe sich ihr Bedarf an zusätzlichen Unterbringungsplätzen auf 65. Im April 2023 habe die Gemeinde lediglich noch über neun freie Plätze verfügt. Da es nahezu unmöglich sei, die fehlenden Unterbringungsmöglichkeiten auf dem freien Wohnungsmarkt zu beschaffen, habe der Gemeinderat am 6. April 2023 beschlossen, Wohncontainer anzuschaffen. Dafür habe er gestützt auf Art. 28 Abs. 2 Ziff. 2 der Gemeindeordnung der Gemeinde Fällanden vom 13. Juni 2021 gebundene Ausgaben in der Höhe von Fr. 1'250'000.-- und am 30. Mai 2023 einen Zusatzkredit von Fr. 300'000.--, ebenfalls als gebundene Ausgabe, bewilligt. Geplant sei ein zweistöckiges Gebäude im Modulbau mit Wohncontainern (befristet auf fünf Jahre). In den vorgesehenen 16 Zimmern für je 4 Personen könnten bei einer Vollbelegung 64 Personen untergebracht werden. Der Beschluss zu den gebundenen Ausgaben stütze sich auf eine Meinungsäusserung des Vorstehers der Sicherheitsdirektion des Kantons Zürich vom 25. November 2022. Dieser habe in einem Schreiben an den Verband der Gemeindepräsidien dargelegt, dass die Planung und Bereitstellung von weiteren Unterbringungsleistungen im Hinblick auf die allfällige Aufnahme weiterer Personen ("Vorhalteleistungen") in der aktuellen Situation zwingend notwendig sei, weshalb es sich um gebundene Ausgaben handle. Gestützt hierauf hätten auch andere zürcherische Gemeinden die Kosten für die Beschaffung von (temporären) Wohncontainern für gebunden erklärt. Dadurch, dass die Gemeinde gemäss dem angefochtenen Urteil den Kredit der Gemeindeversammlung vorlegen müsse, verlängere sich das Verfahren zur Bereitstellung der Plätze. Es reiche nicht, die Betreuungsplätze innert "nützlicher Frist" zu schaffen, wie dies das Verwaltungsgericht im angefochtenen Urteil meine. Die Menschen seien da und müssten untergebracht werden, sobald sie vom Kanton der Gemeinde zugewiesen würden. Deshalb habe der Kanton die Bereitstellung der zusätzlichen Plätze auf den 1. Juni 2023 vorgeschrieben. Der vom Verwaltungsgericht verlangte Einbezug der Gemeindeversammlung hindere die Gemeinde an der rechtzeitigen Erfüllung der ihr vom Bund und vom Kanton auferlegten Pflicht, Asylsuchende unterzubringen, zumal ein Nein der Gemeindeversammlung zum Kreditantrag nicht auszuschliessen sei. Die Gemeinde sei im Sinne der bundesgerichtlichen Praxis in spezifischer Weise in der Wahrnehmung einer hoheitlichen Aufgabe (der Unterbringung von Asylsuchenden) betroffen und daher gestützt auf Art. 89 Abs. 1 BGG legitimiert, das Urteil des Verwaltungsgerichts vom 12. Oktober 2023 anzufechten.</w:t>
      </w:r>
    </w:p>
    <w:p>
      <w:r>
        <w:rPr>
          <w:b/>
        </w:rPr>
        <w:t>E. 2.3</w:t>
      </w:r>
    </w:p>
    <w:p>
      <w:r>
        <w:t>Streitig ist in der Sache, ob die vom Gemeinderat bewilligten Ausgaben in der Höhe von Fr. 1'250'000.-- (Kredit) bzw. von Fr. 300'000.-- (Zusatzkredit) als neu oder als gebunden zu qualifizieren sind. Davon hängt ab, ob der Gemeinderat selbst entscheiden darf oder ob er die Entscheidung über die Kredite der Gemeindeversammlung überlassen muss. Es geht damit im Kern um eine Kompetenzfrage zwischen zwei Organen der Gemeinde, nämlich zwischen dem Gemeinderat und der Gemeindeversammlung.</w:t>
      </w:r>
    </w:p>
    <w:p>
      <w:r>
        <w:t>Welche Ausgaben als "gebunden" und welche als "neu" zu qualifizieren sind, ist aufgrund von § 103 Abs. 1 des Gemeindegesetzes des Kantons Zürich vom 20. April 2015 (GG/ZH; LS 131.1) und damit gestützt auf kantonales Recht auszulegen (vgl. MARKUS RÜSSLI, in: Kommentar zum Zürcher Gemeindegesetz und zu den politischen Rechten in den Gemeinden, 2017, N. 3 zu § 103 GG). Aufgrund der rechtlichen Qualifikation des Verwaltungsgerichts als neue Ausgaben sind die vom Gemeinderat gesprochenen Kredite der Gemeindeversammlung zur Entscheidung vorzulegen. Dies bringt eine Verzögerung mit sich, die sich auf die Erfüllung einer hoheitlichen Aufgabe der Gemeinde auswirkt, nämlich auf die Unterbringung von Asyl- und Schutzsuchenden, wie die Gemeinde zu Recht geltend macht. Die Gemeinde legt in ihren Ausführungen jedoch nicht dar und es ist auch nicht ohne Weiteres ersichtlich, inwiefern es sich bei der Unterbringung von Asyl- und Schutzsuchenden um ein im Sinne der Rechtsprechung wichtiges öffentliches Interesse der Gemeinde handeln soll, bei welchem die Gemeinde gestützt auf Art. 89 Abs. 1 BGG zur Beschwerde beim Bundesgericht berechtigt wäre (vgl. vorne E. 1 und 2.1). Dies ist nicht weiter zu vertiefen. Jedenfalls ist die Gemeinde, wie dargelegt, durch das angefochtene Urteil bloss insoweit in dieser Aufgabe betroffen, als ein zusätzliches Gemeindeorgan einzubeziehen ist und dies mit einem gewissen zusätzlichen Zeitaufwand einhergeht. Der Inhalt der Aufgabe wird vom angefochtenen Urteil dagegen nicht berührt. Eine erhebliche Betroffenheit der Gemeinde in der Wahrnehmung einer hoheitlichen Aufgabe (vgl. vorne E. 2.1) ist darin nicht zu erkennen.</w:t>
      </w:r>
    </w:p>
    <w:p>
      <w:r>
        <w:rPr>
          <w:b/>
        </w:rPr>
        <w:t>E. 2.4</w:t>
      </w:r>
    </w:p>
    <w:p>
      <w:r>
        <w:t>Da Gemeinwesen gestützt auf die allgemeine Legitimationsklausel nur restriktiv zur Beschwerdeführung zuzulassen sind, ist die Gemeinde unter diesen Umständen nicht zur Erhebung des Rechtsmittels nach Art. 89 Abs. 1 BGG legitimiert.</w:t>
      </w:r>
    </w:p>
    <w:p>
      <w:r>
        <w:rPr>
          <w:b/>
        </w:rPr>
        <w:t>E. 3</w:t>
      </w:r>
    </w:p>
    <w:p>
      <w:r>
        <w:t>Bei diesem Ausgang ist auf die Beschwerde nicht einzutreten.</w:t>
      </w:r>
    </w:p>
    <w:p>
      <w:r>
        <w:t>Der unterliegenden Gemeinde sind keine Gerichtskosten aufzuerlegen ( Art. 66 Abs. 1 und 4 BGG ). Hingegen hat die Gemeinde die anwaltlich vertretene Beschwerdegegnerin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