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1C_621/2019 vom 23. April 2020</w:t>
      </w:r>
    </w:p>
    <w:p>
      <w:r>
        <w:t>Bundesgericht, 2020-04-23, DE</w:t>
      </w:r>
    </w:p>
    <w:p>
      <w:r>
        <w:rPr>
          <w:b/>
        </w:rPr>
        <w:t xml:space="preserve">Quelle: </w:t>
      </w:r>
      <w:r>
        <w:t>https://mcp.opencaselaw.ch/entscheid/bger_1C_621_2019</w:t>
      </w:r>
    </w:p>
    <w:p>
      <w:r>
        <w:t>FR: TF 1C_621/2019 du 23 avril 2020</w:t>
      </w:r>
    </w:p>
    <w:p>
      <w:r>
        <w:t>IT: TF 1C_621/2019 del 23 aprile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die Annullierung des Führerausweises auf Probe durch den Beschwerdegegner bestätigt hat.</w:t>
      </w:r>
    </w:p>
    <w:p>
      <w:r>
        <w:rPr>
          <w:b/>
        </w:rPr>
        <w:t>E. 3.1</w:t>
      </w:r>
    </w:p>
    <w:p>
      <w:r>
        <w:t>Der erstmals erworbene Führerausweis für Motorräder und Motorwagen wird zunächst auf Probe erteilt. Die Probezeit beträgt drei Jahre ( Art. 15a Abs. 1 SVG ). Für Inhaber des Führerausweises auf Probe wird der definitive Führerausweis erteilt, wenn die Probezeit abgelaufen ist und der Inhaber die vorgeschriebenen Weiterbildungskurse besucht hat ( Art. 15b Abs. 2 SVG ). Wird dem Inhaber der Ausweis auf Probe wegen einer Widerhandlung entzogen, so wird die Probezeit um ein Jahr verlängert ( Art. 15a Abs. 3 SVG ). Der Führerausweis auf Probe verfällt mit der zweiten Widerhandlung, die zum Entzug des Ausweises führt ( Art. 15a Abs. 4 SVG ). Ein neuer Lernfahrausweis kann frühestens ein Jahr nach Begehung der Widerhandlung und nur auf Grund eines verkehrspsychologischen Gutachtens erteilt werden, das die Eignung bejaht ( Art. 15a Abs. 5 SVG ).</w:t>
      </w:r>
    </w:p>
    <w:p>
      <w:r>
        <w:rPr>
          <w:b/>
        </w:rPr>
        <w:t>E. 3.2</w:t>
      </w:r>
    </w:p>
    <w:p>
      <w:r>
        <w:t>Der vorerst nur probeweisen Erteilung des Führerausweises liegt der Gedanke zugrunde, dass sich Neulenker (sog. "Neuerwerber") während einer dreijährigen Probezeit in der Fahrpraxis bewähren sollen,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dient (ergänzend zur Verschärfung der Warnungsentzüge) der strengeren Ahndung und Prävention von SVG-Widerhandlungen durch Neulenker und damit der Erhöhung der Verkehrssicherheit ( BGE 136 I 345 E. 6.1 S. 348 f. mit Hinweisen; BGE 136 II 447 E. 5.1 S. 454 f.). Unter die nach Art. 15a Abs. 4 SVG relevanten Fälle von erneuten Widerhandlungen fallen auch leichte Fälle, für die (nach Art. 16a Abs. 2 SVG ) ein weiterer Ausweisentzug anzuordnen wäre ( BGE 136 I 345 E. 6.1 S. 348 mit Hinweis).</w:t>
      </w:r>
    </w:p>
    <w:p>
      <w:r>
        <w:rPr>
          <w:b/>
        </w:rPr>
        <w:t>E. 4.1</w:t>
      </w:r>
    </w:p>
    <w:p>
      <w:r>
        <w:t>Es steht fest und ist unbestritten, dass der Beschwerdeführer am 8. Juni 2018 und am 8. September 2018 je eine Widerhandlung gegen das SVG begangen hat, welche jede für sich einen Ausweisentzug rechtfertigen würde. Das kantonale Gericht bestätigte die aufgrund dieser beiden Widerhandlungen gestützt auf Art. 15a Abs. 4 SVG vorgenommene Annullierung des Führerausweises auf Probe durch den Beschwerdegegner. Der Beschwerdeführer bringt dagegen vor, diese Norm sei auf ihn nicht anwendbar, da das Administrativverfahren bezüglich der ersten Widerhandlung im Zeitpunkt der zweiten noch nicht abgeschlossen war.</w:t>
      </w:r>
    </w:p>
    <w:p>
      <w:r>
        <w:rPr>
          <w:b/>
        </w:rPr>
        <w:t>E. 4.2</w:t>
      </w:r>
    </w:p>
    <w:p>
      <w:r>
        <w:t>Rechtsprechungsgemäss setzt der Verfall des Führerausweises auf Probe im Sinne von Art. 15a Abs. 4 SVG nicht voraus, dass der vorangehende Ausweisentzug vollzogen worden oder auch nur, dass der betreffende Entscheid in Rechtskraft erwachsen ist. Entscheidend ist einzig,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wurde ( BGE 136 II 447 E. 5 ff. S. 454 ff.). Offengelassen hat das Bundesgericht in diesem Leitentscheid jedoch die Frage, ob dies auch dann gilt, wenn - wie im vorliegenden Fall - der Entscheid über die Sanktionierung der ersten Widerhandlung noch nicht einmal gefällt und dem Fahrzeugführer eröffnet worden ist.</w:t>
      </w:r>
    </w:p>
    <w:p>
      <w:r>
        <w:rPr>
          <w:b/>
        </w:rPr>
        <w:t>E. 4.3</w:t>
      </w:r>
    </w:p>
    <w:p>
      <w:r>
        <w:t>Während ein Teil der Lehre diese Frage bejaht (vgl. PHILIPPE WEISSENBERGER, Kommentar zum Strassenverkehrsgesetz, 2. Aufl. 2015, N. 23 f. zu Art. 15a SVG und JÜRG BICKEL, in: Basler Kommentar, Strassenverkehrsgesetz, 2014, Fn. 49 zu Art. 15a SVG ), schlägt ein anderer Teil unter Verweis auf die Rechtsprechung zur Verwirklichung mehrerer Entzugsgründe beim definitiven Führerausweis ( BGE 122 II 180 E. 5b S. 183 f.; vgl. auch Urteil 1C_710/2013 vom 7. Januar 2014 E. 3.2) vor, in solchen Fällen Art. 49 StGB analog anzuwenden und eine Gesamtmassnahme auszusprechen (vgl. CÉDRIC MIZEL, Droit et pratique illustrée du retrait du permis de conduire, 2015, S. 636; siehe auch ANDRÉ BUSSY ET AL., Code suisse de la circulation routière commenté, 4. Aufl. 2015, N 5.2 zu Art. 15a SVG ). Da jedoch das Gesetz bei einer zweiten, selbst leichten Widerhandlung, welche einen Entzug rechtfertigt, zwingend den Verfall des Führerausweises auf Probe vorsieht (vgl E. 3.2 hievor), würde eine analoge Anwendung von Art. 49 StGB diejenigen Fahrer, die innerhalb kurzer Zeit mehrere Entzugsgründe setzen, gegenüber jenen, die dies in grösseren zeitlichen Abständen tun, privilegieren. Eine solche Privilegierung wäre indes ungerechtfertigt, geht doch für die Sicherheit im Strassenverkehr in der Regel von ersteren die grössere Gefahr aus als von letzteren. Im vorliegenden Fall kommt hinzu, dass es bei der ersten Widerhandlung des Beschwerdeführers zu einer Kollision mit einer korrekt entgegenkommenden Fahrradfahrerin kam, wobei sich diese leicht verletzte (Platzwunde am Kinn, Prellungen an den Beinen). Von einem Fahrer, der im Strassenverkehr bereits eine andere Person - und sei es auch nur leicht - verletzt hat, darf ohne weiteres ein besonderes Mass an Verantwortungsbewusstsein und an sorgfältigem künftigem Fahrverhalten erwartet werden.</w:t>
      </w:r>
    </w:p>
    <w:p>
      <w:r>
        <w:t>Wie es sich in dem vom Beschwerdeführer aufgeworfenen Spezialfall, in dem der Fahrer im Zeitpunkt der zweiten Widerhandlung noch nicht von seiner ersten Widerhandlung weiss, verhält, braucht demgegenüber vorliegend nicht geprüft zu werden. Somit hat das kantonale Gericht kein Bundesrecht verletzt, als es die Annullierung des Führerausweises auf Probe bestätigt hat; die Beschwerde ist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